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仿宋" w:hAnsi="仿宋"/>
        </w:rPr>
      </w:pPr>
      <w:bookmarkStart w:id="0" w:name="_GoBack"/>
      <w:bookmarkEnd w:id="0"/>
      <w:r>
        <w:rPr>
          <w:rFonts w:hint="eastAsia" w:ascii="仿宋" w:hAnsi="仿宋"/>
        </w:rPr>
        <w:t>资产收入证明文件</w:t>
      </w:r>
      <w:r>
        <w:rPr>
          <w:rStyle w:val="7"/>
          <w:rFonts w:ascii="仿宋" w:hAnsi="仿宋"/>
          <w:sz w:val="32"/>
          <w:szCs w:val="32"/>
        </w:rPr>
        <w:footnoteReference w:id="0"/>
      </w:r>
    </w:p>
    <w:p>
      <w:pPr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一、个人合格投资者标准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金融资产不低于300万元或者最近三年个人年均收入不低于50万元，前述所称金融资产包括银行存款、股票、债券、基金份额、资产管理计划、银行理财产品、信托计划、保险产品、期货权益等。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注：仅接受投资者本人名下财产及收入证明。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1、计算标准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金融资产计入金额以初始投资本金金额为准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保险产品计入金融资产，趸交产品按趸交金额计算。期缴产品=期缴费用×已支付期间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2、可接受的资产证明文件及基本要求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(</w:t>
      </w:r>
      <w:r>
        <w:rPr>
          <w:rFonts w:hint="eastAsia" w:ascii="仿宋" w:hAnsi="仿宋" w:eastAsia="仿宋"/>
          <w:sz w:val="24"/>
          <w:szCs w:val="24"/>
        </w:rPr>
        <w:t>1)可接受的金融资产类型</w:t>
      </w:r>
    </w:p>
    <w:tbl>
      <w:tblPr>
        <w:tblStyle w:val="8"/>
        <w:tblW w:w="9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1844"/>
        <w:gridCol w:w="2424"/>
        <w:gridCol w:w="154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  <w:t>金融资产类型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  <w:t>文件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  <w:t>应体现信息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  <w:t>时效性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  <w:t>文件格式要求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5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存款(活期和定期存款均可)</w:t>
            </w:r>
          </w:p>
        </w:tc>
        <w:tc>
          <w:tcPr>
            <w:tcW w:w="18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定期存款存款单</w:t>
            </w:r>
          </w:p>
        </w:tc>
        <w:tc>
          <w:tcPr>
            <w:tcW w:w="24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存款人姓名(投资者本人姓名)、存款金额、存款到期日、所属金融机构</w:t>
            </w:r>
          </w:p>
        </w:tc>
        <w:tc>
          <w:tcPr>
            <w:tcW w:w="154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提交时，尚未到期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正式文件扫描件或者加盖电子印章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存折</w:t>
            </w:r>
          </w:p>
        </w:tc>
        <w:tc>
          <w:tcPr>
            <w:tcW w:w="24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同上</w:t>
            </w:r>
          </w:p>
        </w:tc>
        <w:tc>
          <w:tcPr>
            <w:tcW w:w="154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存款余额距离提交日不超过一个月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存折首页以及显示最终余额页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对账单/账户交易明细</w:t>
            </w:r>
          </w:p>
        </w:tc>
        <w:tc>
          <w:tcPr>
            <w:tcW w:w="24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同上</w:t>
            </w:r>
          </w:p>
        </w:tc>
        <w:tc>
          <w:tcPr>
            <w:tcW w:w="154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存款余额距离提交日不超过一个月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正式文件扫描件或者加盖电子印章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5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在存续期内的金融产品(股票、债券、基金份额、资产管理计划、银行理财产品、信托计划、保险产品、期货权益</w:t>
            </w:r>
            <w:r>
              <w:rPr>
                <w:rFonts w:hint="eastAsia" w:ascii="仿宋" w:hAnsi="仿宋" w:eastAsia="仿宋" w:cs="宋体"/>
                <w:color w:val="5C5C5C"/>
                <w:kern w:val="0"/>
                <w:sz w:val="24"/>
                <w:szCs w:val="24"/>
              </w:rPr>
              <w:t>)</w:t>
            </w:r>
          </w:p>
        </w:tc>
        <w:tc>
          <w:tcPr>
            <w:tcW w:w="18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产品发行机构或者销售机构出具的资产证明</w:t>
            </w:r>
          </w:p>
        </w:tc>
        <w:tc>
          <w:tcPr>
            <w:tcW w:w="24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出具日期距离提交不超过一个月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显示机构或者发行机构印章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产品发行机构或者销售机构出具的资产证明对账单、交易流水</w:t>
            </w:r>
          </w:p>
        </w:tc>
        <w:tc>
          <w:tcPr>
            <w:tcW w:w="24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最新更新日期距离提交不超过一个月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显示机构或者发行机构印章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产品的销售文件(例如保险、认购合同、交易确认书)</w:t>
            </w:r>
          </w:p>
        </w:tc>
        <w:tc>
          <w:tcPr>
            <w:tcW w:w="24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显示产品目前仍在存续期内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显示机构或者发行机构印章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宋体"/>
          <w:color w:val="5C5C5C"/>
          <w:kern w:val="0"/>
          <w:sz w:val="24"/>
          <w:szCs w:val="24"/>
        </w:rPr>
      </w:pPr>
      <w:r>
        <w:rPr>
          <w:rFonts w:ascii="仿宋" w:hAnsi="仿宋" w:eastAsia="仿宋" w:cs="宋体"/>
          <w:color w:val="5C5C5C"/>
          <w:kern w:val="0"/>
          <w:sz w:val="24"/>
          <w:szCs w:val="24"/>
        </w:rPr>
        <w:t>(</w:t>
      </w:r>
      <w:r>
        <w:rPr>
          <w:rFonts w:hint="eastAsia" w:ascii="仿宋" w:hAnsi="仿宋" w:eastAsia="仿宋" w:cs="宋体"/>
          <w:color w:val="5C5C5C"/>
          <w:kern w:val="0"/>
          <w:sz w:val="24"/>
          <w:szCs w:val="24"/>
        </w:rPr>
        <w:t>2)可接受的收入证明文件</w:t>
      </w:r>
    </w:p>
    <w:tbl>
      <w:tblPr>
        <w:tblStyle w:val="8"/>
        <w:tblW w:w="9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0"/>
        <w:gridCol w:w="2692"/>
        <w:gridCol w:w="2126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  <w:t>收入证明文件</w:t>
            </w:r>
          </w:p>
        </w:tc>
        <w:tc>
          <w:tcPr>
            <w:tcW w:w="26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  <w:t>应当体现的信息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  <w:t>时效性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C5C5C"/>
                <w:kern w:val="0"/>
                <w:sz w:val="24"/>
                <w:szCs w:val="24"/>
              </w:rPr>
              <w:t>文件格式要求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工作收入证明</w:t>
            </w:r>
          </w:p>
        </w:tc>
        <w:tc>
          <w:tcPr>
            <w:tcW w:w="26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姓名、身份证号码、入职时间</w:t>
            </w:r>
            <w:r>
              <w:rPr>
                <w:rFonts w:hint="eastAsia" w:ascii="仿宋" w:hAnsi="仿宋" w:eastAsia="仿宋" w:cs="宋体"/>
                <w:color w:val="5C5C5C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期间收入、公司名称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出具日期距提交不超过1个月</w:t>
            </w:r>
            <w:r>
              <w:rPr>
                <w:rFonts w:hint="eastAsia" w:ascii="仿宋" w:hAnsi="仿宋" w:eastAsia="仿宋" w:cs="宋体"/>
                <w:color w:val="5C5C5C"/>
                <w:kern w:val="0"/>
                <w:sz w:val="24"/>
                <w:szCs w:val="24"/>
              </w:rPr>
              <w:t>，说明连续3年平均收入不低于50万</w:t>
            </w:r>
          </w:p>
        </w:tc>
        <w:tc>
          <w:tcPr>
            <w:tcW w:w="28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加盖所在机构人事或者公章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工资单</w:t>
            </w:r>
          </w:p>
        </w:tc>
        <w:tc>
          <w:tcPr>
            <w:tcW w:w="26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姓名、近三年工资收入总额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距提交文件起前三年记录</w:t>
            </w:r>
          </w:p>
        </w:tc>
        <w:tc>
          <w:tcPr>
            <w:tcW w:w="28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加盖所在机构人事或者公章(电子或者扫描件均可)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完税证明</w:t>
            </w:r>
            <w:r>
              <w:rPr>
                <w:rFonts w:hint="eastAsia" w:ascii="仿宋" w:hAnsi="仿宋" w:eastAsia="仿宋" w:cs="宋体"/>
                <w:color w:val="5C5C5C"/>
                <w:kern w:val="0"/>
                <w:sz w:val="24"/>
                <w:szCs w:val="24"/>
              </w:rPr>
              <w:t>/纳税记录</w:t>
            </w:r>
          </w:p>
        </w:tc>
        <w:tc>
          <w:tcPr>
            <w:tcW w:w="26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姓名、近三年工资收入总额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同上</w:t>
            </w:r>
          </w:p>
        </w:tc>
        <w:tc>
          <w:tcPr>
            <w:tcW w:w="28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加盖税务机关公章的完税证明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银行流水或者对账单</w:t>
            </w:r>
          </w:p>
        </w:tc>
        <w:tc>
          <w:tcPr>
            <w:tcW w:w="26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姓名、近三年收入总额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同上</w:t>
            </w:r>
          </w:p>
        </w:tc>
        <w:tc>
          <w:tcPr>
            <w:tcW w:w="28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5C5C5C"/>
                <w:kern w:val="0"/>
                <w:sz w:val="24"/>
                <w:szCs w:val="24"/>
              </w:rPr>
              <w:t>银行柜台打印盖章的工资流水</w:t>
            </w:r>
          </w:p>
        </w:tc>
      </w:tr>
    </w:tbl>
    <w:p>
      <w:pPr>
        <w:spacing w:line="360" w:lineRule="auto"/>
        <w:ind w:firstLine="482" w:firstLineChars="200"/>
        <w:jc w:val="left"/>
        <w:rPr>
          <w:rFonts w:ascii="仿宋" w:hAnsi="仿宋" w:eastAsia="仿宋" w:cs="宋体"/>
          <w:b/>
          <w:color w:val="5C5C5C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5C5C5C"/>
          <w:kern w:val="0"/>
          <w:sz w:val="24"/>
          <w:szCs w:val="24"/>
        </w:rPr>
        <w:t>二、机构合格投资者标准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宋体"/>
          <w:color w:val="5C5C5C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5C5C5C"/>
          <w:kern w:val="0"/>
          <w:sz w:val="24"/>
          <w:szCs w:val="24"/>
        </w:rPr>
        <w:t>净资产不低于1000万元。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宋体"/>
          <w:color w:val="5C5C5C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5C5C5C"/>
          <w:kern w:val="0"/>
          <w:sz w:val="24"/>
          <w:szCs w:val="24"/>
        </w:rPr>
        <w:t>注：仅接受投资者本单位的财务报表。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宋体"/>
          <w:b/>
          <w:color w:val="5C5C5C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5C5C5C"/>
          <w:kern w:val="0"/>
          <w:sz w:val="24"/>
          <w:szCs w:val="24"/>
        </w:rPr>
        <w:t>可接受的资产证明文件及计算标准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宋体"/>
          <w:b/>
          <w:color w:val="5C5C5C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5C5C5C"/>
          <w:kern w:val="0"/>
          <w:sz w:val="24"/>
          <w:szCs w:val="24"/>
        </w:rPr>
        <w:t>机构投资者应提供最近1年末审计报告及最近一期财务报表，净资产根据资产负债表载明的净资产数值计算。</w:t>
      </w:r>
    </w:p>
    <w:p/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0">
    <w:p>
      <w:pPr>
        <w:pStyle w:val="5"/>
        <w:rPr>
          <w:rFonts w:ascii="仿宋" w:hAnsi="仿宋" w:eastAsia="仿宋"/>
        </w:rPr>
      </w:pPr>
      <w:r>
        <w:rPr>
          <w:rStyle w:val="7"/>
          <w:rFonts w:ascii="仿宋" w:hAnsi="仿宋" w:eastAsia="仿宋"/>
        </w:rPr>
        <w:footnoteRef/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《证券期货投资者适当性管理办法》第八条第(</w:t>
      </w:r>
      <w:r>
        <w:rPr>
          <w:rFonts w:ascii="仿宋" w:hAnsi="仿宋" w:eastAsia="仿宋"/>
        </w:rPr>
        <w:t>四)</w:t>
      </w:r>
      <w:r>
        <w:rPr>
          <w:rFonts w:hint="eastAsia" w:ascii="仿宋" w:hAnsi="仿宋" w:eastAsia="仿宋"/>
        </w:rPr>
        <w:t>、(五</w:t>
      </w:r>
      <w:r>
        <w:rPr>
          <w:rFonts w:ascii="仿宋" w:hAnsi="仿宋" w:eastAsia="仿宋"/>
        </w:rPr>
        <w:t>)项规定的专业投资者应当提供的证明文件</w:t>
      </w:r>
      <w:r>
        <w:rPr>
          <w:rFonts w:hint="eastAsia" w:ascii="仿宋" w:hAnsi="仿宋" w:eastAsia="仿宋"/>
        </w:rPr>
        <w:t>，</w:t>
      </w:r>
      <w:r>
        <w:rPr>
          <w:rFonts w:ascii="仿宋" w:hAnsi="仿宋" w:eastAsia="仿宋"/>
        </w:rPr>
        <w:t>可参照本文件提供</w:t>
      </w:r>
      <w:r>
        <w:rPr>
          <w:rFonts w:hint="eastAsia" w:ascii="仿宋" w:hAnsi="仿宋" w:eastAsia="仿宋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335C5"/>
    <w:rsid w:val="003335C5"/>
    <w:rsid w:val="009E4FCE"/>
    <w:rsid w:val="2ABD7169"/>
    <w:rsid w:val="49E80BD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20" w:after="120" w:line="360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0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character" w:customStyle="1" w:styleId="9">
    <w:name w:val="标题 1 字符"/>
    <w:basedOn w:val="6"/>
    <w:link w:val="2"/>
    <w:qFormat/>
    <w:uiPriority w:val="9"/>
    <w:rPr>
      <w:rFonts w:eastAsia="仿宋"/>
      <w:b/>
      <w:bCs/>
      <w:kern w:val="44"/>
      <w:sz w:val="28"/>
      <w:szCs w:val="44"/>
    </w:rPr>
  </w:style>
  <w:style w:type="character" w:customStyle="1" w:styleId="10">
    <w:name w:val="脚注文本 字符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notes" Target="footnote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858</Characters>
  <Lines>7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2021-06-12T03:18:00Z</dcterms:created>
  <dc:creator>吴 颖</dc:creator>
  <cp:lastModifiedBy>kch</cp:lastModifiedBy>
  <cp:lastPrinted>2021-08-16T07:37:40Z</cp:lastPrinted>
  <dcterms:modified xsi:type="dcterms:W3CDTF">2021-08-16T07:37:42Z</dcterms:modified>
  <dc:title>附件20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