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ascii="仿宋" w:hAnsi="仿宋"/>
        </w:rPr>
      </w:pPr>
      <w:bookmarkStart w:id="0" w:name="_Toc524186257"/>
      <w:bookmarkStart w:id="1" w:name="_GoBack"/>
      <w:bookmarkEnd w:id="1"/>
      <w:r>
        <w:rPr>
          <w:rFonts w:ascii="仿宋" w:hAnsi="仿宋"/>
        </w:rPr>
        <w:t>投资者</w:t>
      </w:r>
      <w:r>
        <w:rPr>
          <w:rFonts w:hint="eastAsia" w:ascii="仿宋" w:hAnsi="仿宋"/>
        </w:rPr>
        <w:t>适当性</w:t>
      </w:r>
      <w:r>
        <w:rPr>
          <w:rFonts w:ascii="仿宋" w:hAnsi="仿宋"/>
        </w:rPr>
        <w:t>回访</w:t>
      </w:r>
      <w:r>
        <w:rPr>
          <w:rFonts w:hint="eastAsia" w:ascii="仿宋" w:hAnsi="仿宋"/>
        </w:rPr>
        <w:t>问卷</w:t>
      </w:r>
      <w:bookmarkEnd w:id="0"/>
    </w:p>
    <w:p>
      <w:pPr>
        <w:spacing w:line="360" w:lineRule="auto"/>
        <w:rPr>
          <w:rFonts w:ascii="仿宋" w:hAnsi="仿宋" w:eastAsia="仿宋"/>
          <w:b/>
          <w:sz w:val="24"/>
          <w:szCs w:val="24"/>
        </w:rPr>
      </w:pPr>
      <w:r>
        <w:rPr>
          <w:rFonts w:ascii="仿宋" w:hAnsi="仿宋" w:eastAsia="仿宋"/>
          <w:b/>
          <w:sz w:val="24"/>
          <w:szCs w:val="24"/>
        </w:rPr>
        <w:t>投资者姓名</w:t>
      </w:r>
      <w:r>
        <w:rPr>
          <w:rFonts w:hint="eastAsia" w:ascii="仿宋" w:hAnsi="仿宋" w:eastAsia="仿宋"/>
          <w:b/>
          <w:sz w:val="24"/>
          <w:szCs w:val="24"/>
        </w:rPr>
        <w:t>/</w:t>
      </w:r>
      <w:r>
        <w:rPr>
          <w:rFonts w:ascii="仿宋" w:hAnsi="仿宋" w:eastAsia="仿宋"/>
          <w:b/>
          <w:sz w:val="24"/>
          <w:szCs w:val="24"/>
        </w:rPr>
        <w:t>名称：</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 xml:space="preserve">  </w:t>
      </w:r>
    </w:p>
    <w:p>
      <w:pPr>
        <w:spacing w:line="360" w:lineRule="auto"/>
        <w:rPr>
          <w:rFonts w:ascii="仿宋" w:hAnsi="仿宋" w:eastAsia="仿宋"/>
          <w:b/>
          <w:sz w:val="24"/>
          <w:szCs w:val="24"/>
          <w:u w:val="single"/>
        </w:rPr>
      </w:pPr>
      <w:r>
        <w:rPr>
          <w:rFonts w:ascii="仿宋" w:hAnsi="仿宋" w:eastAsia="仿宋"/>
          <w:b/>
          <w:sz w:val="24"/>
          <w:szCs w:val="24"/>
        </w:rPr>
        <w:t>证件号码：</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 xml:space="preserve">  </w:t>
      </w:r>
      <w:r>
        <w:rPr>
          <w:rFonts w:ascii="仿宋" w:hAnsi="仿宋" w:eastAsia="仿宋"/>
          <w:b/>
          <w:sz w:val="24"/>
          <w:szCs w:val="24"/>
          <w:u w:val="single"/>
        </w:rPr>
        <w:t xml:space="preserve">                   </w:t>
      </w:r>
      <w:r>
        <w:rPr>
          <w:rFonts w:hint="eastAsia" w:ascii="仿宋" w:hAnsi="仿宋" w:eastAsia="仿宋"/>
          <w:b/>
          <w:sz w:val="24"/>
          <w:szCs w:val="24"/>
          <w:u w:val="single"/>
        </w:rPr>
        <w:t xml:space="preserve">  </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ascii="仿宋" w:hAnsi="仿宋" w:eastAsia="仿宋"/>
          <w:b/>
          <w:sz w:val="24"/>
          <w:szCs w:val="24"/>
        </w:rPr>
        <w:t>尊敬的投资者</w:t>
      </w:r>
      <w:r>
        <w:rPr>
          <w:rFonts w:ascii="仿宋" w:hAnsi="仿宋" w:eastAsia="仿宋"/>
          <w:sz w:val="24"/>
          <w:szCs w:val="24"/>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根据《基金募集机构投资者适当性管理实施指引(试行)》及本公司关于投资者适当性管理制度的规定，本公司需要对您/贵机构进行回访，以便为您提供更适当的产品。</w:t>
      </w:r>
    </w:p>
    <w:p>
      <w:pPr>
        <w:spacing w:line="360" w:lineRule="auto"/>
        <w:ind w:firstLine="480" w:firstLineChars="200"/>
        <w:rPr>
          <w:rFonts w:ascii="仿宋" w:hAnsi="仿宋" w:eastAsia="仿宋"/>
          <w:sz w:val="24"/>
          <w:szCs w:val="24"/>
        </w:rPr>
      </w:pPr>
    </w:p>
    <w:p>
      <w:pPr>
        <w:spacing w:line="360" w:lineRule="auto"/>
        <w:ind w:firstLine="480"/>
        <w:rPr>
          <w:rFonts w:ascii="仿宋" w:hAnsi="仿宋" w:eastAsia="仿宋"/>
          <w:sz w:val="24"/>
          <w:szCs w:val="24"/>
        </w:rPr>
      </w:pPr>
      <w:r>
        <w:rPr>
          <w:rFonts w:ascii="仿宋" w:hAnsi="仿宋" w:eastAsia="仿宋"/>
          <w:sz w:val="24"/>
          <w:szCs w:val="24"/>
        </w:rPr>
        <w:t>以下是回访问卷，请您</w:t>
      </w:r>
      <w:r>
        <w:rPr>
          <w:rFonts w:hint="eastAsia" w:ascii="仿宋" w:hAnsi="仿宋" w:eastAsia="仿宋"/>
          <w:sz w:val="24"/>
          <w:szCs w:val="24"/>
        </w:rPr>
        <w:t>/贵机构</w:t>
      </w:r>
      <w:r>
        <w:rPr>
          <w:rFonts w:ascii="仿宋" w:hAnsi="仿宋" w:eastAsia="仿宋"/>
          <w:sz w:val="24"/>
          <w:szCs w:val="24"/>
        </w:rPr>
        <w:t>逐一回答并确认(是</w:t>
      </w:r>
      <w:r>
        <w:rPr>
          <w:rFonts w:hint="eastAsia" w:ascii="仿宋" w:hAnsi="仿宋" w:eastAsia="仿宋"/>
          <w:sz w:val="24"/>
          <w:szCs w:val="24"/>
        </w:rPr>
        <w:t>，</w:t>
      </w:r>
      <w:r>
        <w:rPr>
          <w:rFonts w:ascii="仿宋" w:hAnsi="仿宋" w:eastAsia="仿宋"/>
          <w:sz w:val="24"/>
          <w:szCs w:val="24"/>
        </w:rPr>
        <w:t>打“√”，否</w:t>
      </w:r>
      <w:r>
        <w:rPr>
          <w:rFonts w:hint="eastAsia" w:ascii="仿宋" w:hAnsi="仿宋" w:eastAsia="仿宋"/>
          <w:sz w:val="24"/>
          <w:szCs w:val="24"/>
        </w:rPr>
        <w:t>，</w:t>
      </w:r>
      <w:r>
        <w:rPr>
          <w:rFonts w:ascii="仿宋" w:hAnsi="仿宋" w:eastAsia="仿宋"/>
          <w:sz w:val="24"/>
          <w:szCs w:val="24"/>
        </w:rPr>
        <w:t>打“×”)：</w:t>
      </w:r>
    </w:p>
    <w:tbl>
      <w:tblPr>
        <w:tblStyle w:val="7"/>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95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cs="Times New Roman"/>
                <w:b/>
                <w:kern w:val="0"/>
                <w:sz w:val="24"/>
                <w:szCs w:val="24"/>
              </w:rPr>
            </w:pPr>
            <w:r>
              <w:rPr>
                <w:rFonts w:hint="eastAsia" w:ascii="仿宋" w:hAnsi="仿宋" w:eastAsia="仿宋" w:cs="Times New Roman"/>
                <w:b/>
                <w:kern w:val="0"/>
                <w:sz w:val="24"/>
                <w:szCs w:val="24"/>
              </w:rPr>
              <w:t>编号</w:t>
            </w:r>
          </w:p>
        </w:tc>
        <w:tc>
          <w:tcPr>
            <w:tcW w:w="5953" w:type="dxa"/>
            <w:vAlign w:val="center"/>
          </w:tcPr>
          <w:p>
            <w:pPr>
              <w:spacing w:line="360" w:lineRule="auto"/>
              <w:jc w:val="center"/>
              <w:rPr>
                <w:rFonts w:ascii="仿宋" w:hAnsi="仿宋" w:eastAsia="仿宋" w:cs="Times New Roman"/>
                <w:b/>
                <w:kern w:val="0"/>
                <w:sz w:val="24"/>
                <w:szCs w:val="24"/>
              </w:rPr>
            </w:pPr>
            <w:r>
              <w:rPr>
                <w:rFonts w:hint="eastAsia" w:ascii="仿宋" w:hAnsi="仿宋" w:eastAsia="仿宋" w:cs="Times New Roman"/>
                <w:b/>
                <w:kern w:val="0"/>
                <w:sz w:val="24"/>
                <w:szCs w:val="24"/>
              </w:rPr>
              <w:t>问卷清单</w:t>
            </w:r>
          </w:p>
        </w:tc>
        <w:tc>
          <w:tcPr>
            <w:tcW w:w="1497" w:type="dxa"/>
            <w:vAlign w:val="center"/>
          </w:tcPr>
          <w:p>
            <w:pPr>
              <w:spacing w:line="360" w:lineRule="auto"/>
              <w:jc w:val="center"/>
              <w:rPr>
                <w:rFonts w:ascii="仿宋" w:hAnsi="仿宋" w:eastAsia="仿宋" w:cs="Times New Roman"/>
                <w:b/>
                <w:kern w:val="0"/>
                <w:sz w:val="24"/>
                <w:szCs w:val="24"/>
              </w:rPr>
            </w:pPr>
            <w:r>
              <w:rPr>
                <w:rFonts w:hint="eastAsia" w:ascii="仿宋" w:hAnsi="仿宋" w:eastAsia="仿宋" w:cs="Times New Roman"/>
                <w:b/>
                <w:kern w:val="0"/>
                <w:sz w:val="24"/>
                <w:szCs w:val="24"/>
              </w:rPr>
              <w:t>确认结果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5953" w:type="dxa"/>
            <w:vAlign w:val="center"/>
          </w:tcPr>
          <w:p>
            <w:pPr>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受访人是否为您本人或本机构？</w:t>
            </w:r>
          </w:p>
        </w:tc>
        <w:tc>
          <w:tcPr>
            <w:tcW w:w="1497" w:type="dxa"/>
            <w:vAlign w:val="center"/>
          </w:tcPr>
          <w:p>
            <w:pPr>
              <w:spacing w:line="360"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5953" w:type="dxa"/>
            <w:vAlign w:val="center"/>
          </w:tcPr>
          <w:p>
            <w:pPr>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您/贵机构是否已知晓私募基金产品的风险以及相关风险警示？</w:t>
            </w:r>
          </w:p>
        </w:tc>
        <w:tc>
          <w:tcPr>
            <w:tcW w:w="1497" w:type="dxa"/>
            <w:vAlign w:val="center"/>
          </w:tcPr>
          <w:p>
            <w:pPr>
              <w:spacing w:line="360" w:lineRule="auto"/>
              <w:jc w:val="center"/>
              <w:rPr>
                <w:rFonts w:ascii="仿宋" w:hAnsi="仿宋" w:eastAsia="仿宋" w:cs="Times New Roman"/>
                <w:kern w:val="0"/>
                <w:sz w:val="44"/>
                <w:szCs w:val="4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5953" w:type="dxa"/>
            <w:vAlign w:val="center"/>
          </w:tcPr>
          <w:p>
            <w:pPr>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您/贵机构是否已知晓自己的风险承受能力等级、购买的私募基金产品的风险等级以及适当性匹配意见？</w:t>
            </w:r>
          </w:p>
        </w:tc>
        <w:tc>
          <w:tcPr>
            <w:tcW w:w="1497" w:type="dxa"/>
            <w:vAlign w:val="center"/>
          </w:tcPr>
          <w:p>
            <w:pPr>
              <w:spacing w:line="360"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5953" w:type="dxa"/>
            <w:vAlign w:val="center"/>
          </w:tcPr>
          <w:p>
            <w:pPr>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您/贵机构是否是否知晓承担的费用以及可能产生的投资损失？</w:t>
            </w:r>
          </w:p>
        </w:tc>
        <w:tc>
          <w:tcPr>
            <w:tcW w:w="1497" w:type="dxa"/>
            <w:vAlign w:val="center"/>
          </w:tcPr>
          <w:p>
            <w:pPr>
              <w:spacing w:line="360" w:lineRule="auto"/>
              <w:jc w:val="center"/>
              <w:rPr>
                <w:rFonts w:ascii="仿宋" w:hAnsi="仿宋" w:eastAsia="仿宋" w:cs="Times New Roman"/>
                <w:kern w:val="0"/>
                <w:sz w:val="24"/>
                <w:szCs w:val="24"/>
              </w:rPr>
            </w:pPr>
            <w:r>
              <w:rPr>
                <w:rFonts w:hint="eastAsia" w:ascii="仿宋" w:hAnsi="仿宋" w:eastAsia="仿宋" w:cs="Times New Roman"/>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5953" w:type="dxa"/>
            <w:vAlign w:val="center"/>
          </w:tcPr>
          <w:p>
            <w:pPr>
              <w:spacing w:line="360" w:lineRule="auto"/>
              <w:jc w:val="center"/>
              <w:rPr>
                <w:rFonts w:ascii="仿宋" w:hAnsi="仿宋" w:eastAsia="仿宋" w:cs="Times New Roman"/>
                <w:kern w:val="0"/>
                <w:sz w:val="24"/>
                <w:szCs w:val="24"/>
              </w:rPr>
            </w:pPr>
            <w:r>
              <w:rPr>
                <w:rFonts w:hint="eastAsia" w:ascii="仿宋" w:hAnsi="仿宋" w:eastAsia="仿宋" w:cs="Times New Roman"/>
                <w:kern w:val="0"/>
                <w:sz w:val="24"/>
                <w:szCs w:val="24"/>
              </w:rPr>
              <w:t>本公司及工作人员是否存在《证券期货投资者适当性管理办法》第二十二条规定的禁止行为？</w:t>
            </w:r>
          </w:p>
        </w:tc>
        <w:tc>
          <w:tcPr>
            <w:tcW w:w="1497" w:type="dxa"/>
            <w:vAlign w:val="center"/>
          </w:tcPr>
          <w:p>
            <w:pPr>
              <w:spacing w:line="360" w:lineRule="auto"/>
              <w:jc w:val="center"/>
              <w:rPr>
                <w:rFonts w:ascii="仿宋" w:hAnsi="仿宋" w:eastAsia="仿宋" w:cs="Times New Roman"/>
                <w:kern w:val="0"/>
                <w:sz w:val="44"/>
                <w:szCs w:val="44"/>
              </w:rPr>
            </w:pPr>
            <w:r>
              <w:rPr>
                <w:rFonts w:hint="eastAsia" w:ascii="仿宋" w:hAnsi="仿宋" w:eastAsia="仿宋" w:cs="Times New Roman"/>
                <w:kern w:val="0"/>
                <w:sz w:val="44"/>
                <w:szCs w:val="44"/>
              </w:rPr>
              <w:t>□</w:t>
            </w:r>
          </w:p>
        </w:tc>
      </w:tr>
    </w:tbl>
    <w:p>
      <w:pPr>
        <w:spacing w:line="360" w:lineRule="auto"/>
        <w:rPr>
          <w:rFonts w:ascii="仿宋" w:hAnsi="仿宋" w:eastAsia="仿宋"/>
          <w:b/>
          <w:sz w:val="24"/>
          <w:szCs w:val="24"/>
        </w:rPr>
      </w:pPr>
    </w:p>
    <w:p>
      <w:pPr>
        <w:spacing w:line="360" w:lineRule="auto"/>
        <w:ind w:firstLine="482" w:firstLineChars="200"/>
        <w:rPr>
          <w:rFonts w:ascii="仿宋" w:hAnsi="仿宋" w:eastAsia="仿宋"/>
          <w:sz w:val="24"/>
          <w:szCs w:val="24"/>
        </w:rPr>
      </w:pPr>
      <w:r>
        <w:rPr>
          <w:rFonts w:hint="eastAsia" w:ascii="仿宋" w:hAnsi="仿宋" w:eastAsia="仿宋"/>
          <w:b/>
          <w:sz w:val="24"/>
          <w:szCs w:val="24"/>
        </w:rPr>
        <w:t>注：</w:t>
      </w:r>
      <w:r>
        <w:rPr>
          <w:rFonts w:hint="eastAsia" w:ascii="仿宋" w:hAnsi="仿宋" w:eastAsia="仿宋"/>
          <w:sz w:val="24"/>
          <w:szCs w:val="24"/>
        </w:rPr>
        <w:t>《证券期货投资者适当性管理办法》第二十二条：禁止经营机构进行下列销售产品或者提供服务的活动：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(一)向不符合准入要求的投资者销售产品或者提供服务；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(二)向投资者就不确定事项提供确定性的判断，或者告知投资者有可能使其误认为具有确定性的意见；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(三)向普通投资者主动推介风险等级高于其风险承受能力的产品或者服务；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(四)向普通投资者主动推介不符合其投资目标的产品或者服务；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(五)向风险承受能力最低类别的投资者销售或者提供风险等级高于其风险承受能力的产品或者服务；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(六)其他违背适当性要求，损害投资者合法权益的行为。</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ind w:firstLine="2650" w:firstLineChars="1100"/>
        <w:rPr>
          <w:rFonts w:ascii="仿宋" w:hAnsi="仿宋" w:eastAsia="仿宋"/>
          <w:b/>
          <w:sz w:val="24"/>
          <w:szCs w:val="24"/>
        </w:rPr>
      </w:pPr>
      <w:r>
        <w:rPr>
          <w:rFonts w:hint="eastAsia" w:ascii="仿宋" w:hAnsi="仿宋" w:eastAsia="仿宋"/>
          <w:b/>
          <w:sz w:val="24"/>
          <w:szCs w:val="24"/>
        </w:rPr>
        <w:t>投资者(自然人签字/机构盖章)</w:t>
      </w:r>
      <w:r>
        <w:rPr>
          <w:rFonts w:hint="eastAsia" w:ascii="仿宋" w:hAnsi="仿宋" w:eastAsia="仿宋"/>
          <w:sz w:val="24"/>
          <w:szCs w:val="24"/>
        </w:rPr>
        <w:t>：</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ind w:firstLine="3373" w:firstLineChars="1400"/>
        <w:rPr>
          <w:rFonts w:ascii="仿宋" w:hAnsi="仿宋" w:eastAsia="仿宋"/>
          <w:b/>
          <w:sz w:val="24"/>
          <w:szCs w:val="24"/>
        </w:rPr>
      </w:pPr>
      <w:r>
        <w:rPr>
          <w:rFonts w:ascii="仿宋" w:hAnsi="仿宋" w:eastAsia="仿宋"/>
          <w:b/>
          <w:sz w:val="24"/>
          <w:szCs w:val="24"/>
        </w:rPr>
        <w:t xml:space="preserve">募集机构经办员(签字): </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jc w:val="right"/>
        <w:rPr>
          <w:rFonts w:ascii="仿宋" w:hAnsi="仿宋" w:eastAsia="仿宋"/>
          <w:b/>
          <w:sz w:val="24"/>
          <w:szCs w:val="24"/>
        </w:rPr>
      </w:pPr>
      <w:r>
        <w:rPr>
          <w:rFonts w:hint="eastAsia" w:ascii="仿宋" w:hAnsi="仿宋" w:eastAsia="仿宋"/>
          <w:b/>
          <w:sz w:val="24"/>
          <w:szCs w:val="24"/>
        </w:rPr>
        <w:t xml:space="preserve">日期：  </w:t>
      </w:r>
      <w:r>
        <w:rPr>
          <w:rFonts w:ascii="仿宋" w:hAnsi="仿宋" w:eastAsia="仿宋"/>
          <w:b/>
          <w:sz w:val="24"/>
          <w:szCs w:val="24"/>
        </w:rPr>
        <w:t xml:space="preserve"> </w:t>
      </w:r>
      <w:r>
        <w:rPr>
          <w:rFonts w:hint="eastAsia" w:ascii="仿宋" w:hAnsi="仿宋" w:eastAsia="仿宋"/>
          <w:b/>
          <w:sz w:val="24"/>
          <w:szCs w:val="24"/>
        </w:rPr>
        <w:t xml:space="preserve">年 </w:t>
      </w:r>
      <w:r>
        <w:rPr>
          <w:rFonts w:ascii="仿宋" w:hAnsi="仿宋" w:eastAsia="仿宋"/>
          <w:b/>
          <w:sz w:val="24"/>
          <w:szCs w:val="24"/>
        </w:rPr>
        <w:t xml:space="preserve">  </w:t>
      </w:r>
      <w:r>
        <w:rPr>
          <w:rFonts w:hint="eastAsia" w:ascii="仿宋" w:hAnsi="仿宋" w:eastAsia="仿宋"/>
          <w:b/>
          <w:sz w:val="24"/>
          <w:szCs w:val="24"/>
        </w:rPr>
        <w:t xml:space="preserve">月  </w:t>
      </w:r>
      <w:r>
        <w:rPr>
          <w:rFonts w:ascii="仿宋" w:hAnsi="仿宋" w:eastAsia="仿宋"/>
          <w:b/>
          <w:sz w:val="24"/>
          <w:szCs w:val="24"/>
        </w:rPr>
        <w:t xml:space="preserve"> </w:t>
      </w:r>
      <w:r>
        <w:rPr>
          <w:rFonts w:hint="eastAsia" w:ascii="仿宋" w:hAnsi="仿宋" w:eastAsia="仿宋"/>
          <w:b/>
          <w:sz w:val="24"/>
          <w:szCs w:val="24"/>
        </w:rPr>
        <w:t>日</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204FB"/>
    <w:rsid w:val="00020E27"/>
    <w:rsid w:val="005204FB"/>
    <w:rsid w:val="36FE712E"/>
    <w:rsid w:val="50080BC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8"/>
    <w:qFormat/>
    <w:uiPriority w:val="9"/>
    <w:pPr>
      <w:spacing w:before="120" w:after="120" w:line="360" w:lineRule="auto"/>
      <w:jc w:val="center"/>
      <w:outlineLvl w:val="0"/>
    </w:pPr>
    <w:rPr>
      <w:rFonts w:eastAsia="仿宋"/>
      <w:b/>
      <w:bCs/>
      <w:kern w:val="44"/>
      <w:sz w:val="28"/>
      <w:szCs w:val="44"/>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标题 1 字符"/>
    <w:basedOn w:val="5"/>
    <w:link w:val="2"/>
    <w:qFormat/>
    <w:uiPriority w:val="9"/>
    <w:rPr>
      <w:rFonts w:eastAsia="仿宋"/>
      <w:b/>
      <w:bCs/>
      <w:kern w:val="44"/>
      <w:sz w:val="28"/>
      <w:szCs w:val="44"/>
    </w:rPr>
  </w:style>
  <w:style w:type="character" w:customStyle="1" w:styleId="9">
    <w:name w:val="页眉 字符"/>
    <w:basedOn w:val="5"/>
    <w:link w:val="4"/>
    <w:uiPriority w:val="99"/>
    <w:rPr>
      <w:sz w:val="18"/>
      <w:szCs w:val="18"/>
    </w:rPr>
  </w:style>
  <w:style w:type="character" w:customStyle="1" w:styleId="10">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646</Characters>
  <Lines>5</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2021-06-12T03:17:00Z</dcterms:created>
  <dc:creator>吴 颖</dc:creator>
  <cp:lastModifiedBy>kch</cp:lastModifiedBy>
  <cp:lastPrinted>2021-08-16T07:37:32Z</cp:lastPrinted>
  <dcterms:modified xsi:type="dcterms:W3CDTF">2021-08-16T07:37:33Z</dcterms:modified>
  <dc:title>附件19</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