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ascii="仿宋" w:hAnsi="仿宋" w:eastAsia="仿宋"/>
          <w:sz w:val="24"/>
          <w:szCs w:val="24"/>
          <w:highlight w:val="none"/>
        </w:rPr>
      </w:pPr>
      <w:bookmarkStart w:id="36" w:name="_GoBack"/>
      <w:bookmarkEnd w:id="36"/>
    </w:p>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p>
    <w:p>
      <w:pPr>
        <w:spacing w:line="360" w:lineRule="auto"/>
        <w:rPr>
          <w:rFonts w:ascii="仿宋" w:hAnsi="仿宋" w:eastAsia="仿宋"/>
          <w:sz w:val="24"/>
          <w:szCs w:val="24"/>
          <w:highlight w:val="none"/>
        </w:rPr>
      </w:pPr>
    </w:p>
    <w:p>
      <w:pPr>
        <w:spacing w:line="360" w:lineRule="auto"/>
        <w:jc w:val="center"/>
        <w:rPr>
          <w:rFonts w:ascii="仿宋" w:hAnsi="仿宋" w:eastAsia="仿宋"/>
          <w:sz w:val="36"/>
          <w:szCs w:val="36"/>
          <w:highlight w:val="none"/>
        </w:rPr>
      </w:pPr>
      <w:r>
        <w:rPr>
          <w:rFonts w:hint="eastAsia" w:ascii="仿宋" w:hAnsi="仿宋" w:eastAsia="仿宋"/>
          <w:sz w:val="36"/>
          <w:szCs w:val="36"/>
          <w:highlight w:val="none"/>
        </w:rPr>
        <w:t>【私募基金名称】</w:t>
      </w:r>
    </w:p>
    <w:p>
      <w:pPr>
        <w:spacing w:line="360" w:lineRule="auto"/>
        <w:rPr>
          <w:rFonts w:ascii="仿宋" w:hAnsi="仿宋" w:eastAsia="仿宋"/>
          <w:sz w:val="36"/>
          <w:szCs w:val="36"/>
          <w:highlight w:val="none"/>
        </w:rPr>
      </w:pPr>
    </w:p>
    <w:p>
      <w:pPr>
        <w:spacing w:line="360" w:lineRule="auto"/>
        <w:rPr>
          <w:rFonts w:ascii="仿宋" w:hAnsi="仿宋" w:eastAsia="仿宋"/>
          <w:sz w:val="36"/>
          <w:szCs w:val="36"/>
          <w:highlight w:val="none"/>
        </w:rPr>
      </w:pPr>
    </w:p>
    <w:p>
      <w:pPr>
        <w:pStyle w:val="2"/>
        <w:rPr>
          <w:rFonts w:ascii="仿宋" w:hAnsi="仿宋"/>
          <w:sz w:val="44"/>
          <w:highlight w:val="none"/>
        </w:rPr>
      </w:pPr>
      <w:bookmarkStart w:id="0" w:name="_Toc524186229"/>
      <w:r>
        <w:rPr>
          <w:rFonts w:ascii="仿宋" w:hAnsi="仿宋"/>
          <w:sz w:val="44"/>
          <w:highlight w:val="none"/>
        </w:rPr>
        <w:t>招募说明书</w:t>
      </w:r>
      <w:bookmarkEnd w:id="0"/>
    </w:p>
    <w:p>
      <w:pPr>
        <w:spacing w:line="360" w:lineRule="auto"/>
        <w:jc w:val="center"/>
        <w:rPr>
          <w:rFonts w:ascii="仿宋" w:hAnsi="仿宋" w:eastAsia="仿宋"/>
          <w:sz w:val="36"/>
          <w:szCs w:val="36"/>
          <w:highlight w:val="none"/>
        </w:rPr>
      </w:pPr>
    </w:p>
    <w:p>
      <w:pPr>
        <w:spacing w:line="360" w:lineRule="auto"/>
        <w:jc w:val="center"/>
        <w:rPr>
          <w:rFonts w:ascii="仿宋" w:hAnsi="仿宋" w:eastAsia="仿宋"/>
          <w:sz w:val="36"/>
          <w:szCs w:val="36"/>
          <w:highlight w:val="none"/>
        </w:rPr>
      </w:pPr>
    </w:p>
    <w:p>
      <w:pPr>
        <w:spacing w:line="360" w:lineRule="auto"/>
        <w:jc w:val="center"/>
        <w:rPr>
          <w:rFonts w:ascii="仿宋" w:hAnsi="仿宋" w:eastAsia="仿宋"/>
          <w:sz w:val="36"/>
          <w:szCs w:val="36"/>
          <w:highlight w:val="none"/>
        </w:rPr>
      </w:pPr>
    </w:p>
    <w:p>
      <w:pPr>
        <w:spacing w:line="360" w:lineRule="auto"/>
        <w:jc w:val="center"/>
        <w:rPr>
          <w:rFonts w:ascii="仿宋" w:hAnsi="仿宋" w:eastAsia="仿宋"/>
          <w:sz w:val="36"/>
          <w:szCs w:val="36"/>
          <w:highlight w:val="none"/>
        </w:rPr>
      </w:pPr>
      <w:r>
        <w:rPr>
          <w:rFonts w:hint="eastAsia" w:ascii="仿宋" w:hAnsi="仿宋" w:eastAsia="仿宋"/>
          <w:sz w:val="36"/>
          <w:szCs w:val="36"/>
          <w:highlight w:val="none"/>
        </w:rPr>
        <w:t>【基金管理人名称】</w:t>
      </w:r>
    </w:p>
    <w:p>
      <w:pPr>
        <w:spacing w:line="360" w:lineRule="auto"/>
        <w:jc w:val="center"/>
        <w:rPr>
          <w:rFonts w:ascii="仿宋" w:hAnsi="仿宋" w:eastAsia="仿宋"/>
          <w:sz w:val="36"/>
          <w:szCs w:val="36"/>
          <w:highlight w:val="none"/>
        </w:rPr>
      </w:pPr>
      <w:r>
        <w:rPr>
          <w:rFonts w:hint="eastAsia" w:ascii="仿宋" w:hAnsi="仿宋" w:eastAsia="仿宋"/>
          <w:sz w:val="36"/>
          <w:szCs w:val="36"/>
          <w:highlight w:val="none"/>
        </w:rPr>
        <w:t>[加盖公章]</w:t>
      </w:r>
    </w:p>
    <w:p>
      <w:pPr>
        <w:spacing w:line="360" w:lineRule="auto"/>
        <w:jc w:val="center"/>
        <w:rPr>
          <w:rFonts w:ascii="仿宋" w:hAnsi="仿宋" w:eastAsia="仿宋"/>
          <w:sz w:val="36"/>
          <w:szCs w:val="36"/>
          <w:highlight w:val="none"/>
        </w:rPr>
      </w:pPr>
    </w:p>
    <w:p>
      <w:pPr>
        <w:spacing w:line="360" w:lineRule="auto"/>
        <w:jc w:val="center"/>
        <w:rPr>
          <w:rFonts w:ascii="仿宋" w:hAnsi="仿宋" w:eastAsia="仿宋"/>
          <w:sz w:val="36"/>
          <w:szCs w:val="36"/>
          <w:highlight w:val="none"/>
        </w:rPr>
      </w:pPr>
    </w:p>
    <w:p>
      <w:pPr>
        <w:spacing w:line="360" w:lineRule="auto"/>
        <w:jc w:val="center"/>
        <w:rPr>
          <w:rFonts w:ascii="仿宋" w:hAnsi="仿宋" w:eastAsia="仿宋"/>
          <w:sz w:val="36"/>
          <w:szCs w:val="36"/>
          <w:highlight w:val="none"/>
        </w:rPr>
      </w:pPr>
    </w:p>
    <w:p>
      <w:pPr>
        <w:spacing w:line="360" w:lineRule="auto"/>
        <w:jc w:val="center"/>
        <w:rPr>
          <w:rFonts w:ascii="仿宋" w:hAnsi="仿宋" w:eastAsia="仿宋"/>
          <w:sz w:val="36"/>
          <w:szCs w:val="36"/>
          <w:highlight w:val="none"/>
        </w:rPr>
      </w:pPr>
    </w:p>
    <w:p>
      <w:pPr>
        <w:spacing w:line="360" w:lineRule="auto"/>
        <w:jc w:val="center"/>
        <w:rPr>
          <w:rFonts w:ascii="仿宋" w:hAnsi="仿宋" w:eastAsia="仿宋"/>
          <w:sz w:val="36"/>
          <w:szCs w:val="36"/>
          <w:highlight w:val="none"/>
        </w:rPr>
      </w:pPr>
      <w:r>
        <w:rPr>
          <w:rFonts w:hint="eastAsia" w:ascii="仿宋" w:hAnsi="仿宋" w:eastAsia="仿宋"/>
          <w:sz w:val="36"/>
          <w:szCs w:val="36"/>
          <w:highlight w:val="none"/>
        </w:rPr>
        <w:t>二〇X</w:t>
      </w:r>
      <w:r>
        <w:rPr>
          <w:rFonts w:ascii="仿宋" w:hAnsi="仿宋" w:eastAsia="仿宋"/>
          <w:sz w:val="36"/>
          <w:szCs w:val="36"/>
          <w:highlight w:val="none"/>
        </w:rPr>
        <w:t>X</w:t>
      </w:r>
      <w:r>
        <w:rPr>
          <w:rFonts w:hint="eastAsia" w:ascii="仿宋" w:hAnsi="仿宋" w:eastAsia="仿宋"/>
          <w:sz w:val="36"/>
          <w:szCs w:val="36"/>
          <w:highlight w:val="none"/>
        </w:rPr>
        <w:t>年X</w:t>
      </w:r>
      <w:r>
        <w:rPr>
          <w:rFonts w:ascii="仿宋" w:hAnsi="仿宋" w:eastAsia="仿宋"/>
          <w:sz w:val="36"/>
          <w:szCs w:val="36"/>
          <w:highlight w:val="none"/>
        </w:rPr>
        <w:t>X</w:t>
      </w:r>
      <w:r>
        <w:rPr>
          <w:rFonts w:hint="eastAsia" w:ascii="仿宋" w:hAnsi="仿宋" w:eastAsia="仿宋"/>
          <w:sz w:val="36"/>
          <w:szCs w:val="36"/>
          <w:highlight w:val="none"/>
        </w:rPr>
        <w:t>月</w:t>
      </w:r>
    </w:p>
    <w:p>
      <w:pPr>
        <w:spacing w:line="360" w:lineRule="auto"/>
        <w:rPr>
          <w:rFonts w:ascii="仿宋" w:hAnsi="仿宋" w:eastAsia="仿宋"/>
          <w:sz w:val="24"/>
          <w:szCs w:val="24"/>
          <w:highlight w:val="none"/>
        </w:rPr>
        <w:sectPr>
          <w:headerReference r:id="rId5" w:type="first"/>
          <w:headerReference r:id="rId4" w:type="default"/>
          <w:footerReference r:id="rId6" w:type="default"/>
          <w:pgSz w:w="11906" w:h="16838"/>
          <w:pgMar w:top="1440" w:right="1800" w:bottom="1440" w:left="1800" w:header="851" w:footer="992" w:gutter="0"/>
          <w:pgNumType w:start="1"/>
          <w:cols w:space="720" w:num="1"/>
          <w:docGrid w:type="lines" w:linePitch="312" w:charSpace="0"/>
        </w:sectPr>
      </w:pPr>
    </w:p>
    <w:p>
      <w:pPr>
        <w:spacing w:line="360" w:lineRule="auto"/>
        <w:jc w:val="center"/>
        <w:rPr>
          <w:rFonts w:ascii="仿宋" w:hAnsi="仿宋" w:eastAsia="仿宋"/>
          <w:b/>
          <w:sz w:val="32"/>
          <w:szCs w:val="32"/>
          <w:highlight w:val="none"/>
        </w:rPr>
      </w:pPr>
      <w:r>
        <w:rPr>
          <w:rFonts w:hint="eastAsia" w:ascii="仿宋" w:hAnsi="仿宋" w:eastAsia="仿宋"/>
          <w:b/>
          <w:sz w:val="32"/>
          <w:szCs w:val="32"/>
          <w:highlight w:val="none"/>
        </w:rPr>
        <w:t>目录</w:t>
      </w:r>
    </w:p>
    <w:p>
      <w:pPr>
        <w:tabs>
          <w:tab w:val="right" w:leader="dot" w:pos="8296"/>
        </w:tabs>
        <w:spacing w:line="360" w:lineRule="auto"/>
        <w:jc w:val="left"/>
        <w:rPr>
          <w:rFonts w:ascii="仿宋" w:hAnsi="仿宋" w:eastAsia="仿宋"/>
          <w:highlight w:val="none"/>
        </w:rPr>
      </w:pPr>
      <w:r>
        <w:rPr>
          <w:rFonts w:ascii="仿宋" w:hAnsi="仿宋" w:eastAsia="仿宋"/>
          <w:sz w:val="24"/>
          <w:highlight w:val="none"/>
        </w:rPr>
        <w:fldChar w:fldCharType="begin"/>
      </w:r>
      <w:r>
        <w:rPr>
          <w:rFonts w:ascii="仿宋" w:hAnsi="仿宋" w:eastAsia="仿宋"/>
          <w:sz w:val="24"/>
          <w:highlight w:val="none"/>
        </w:rPr>
        <w:instrText xml:space="preserve"> TOC \o "1-1" \h \z \u </w:instrText>
      </w:r>
      <w:r>
        <w:rPr>
          <w:rFonts w:ascii="仿宋" w:hAnsi="仿宋" w:eastAsia="仿宋"/>
          <w:sz w:val="24"/>
          <w:highlight w:val="none"/>
        </w:rPr>
        <w:fldChar w:fldCharType="separate"/>
      </w:r>
      <w:r>
        <w:rPr>
          <w:highlight w:val="none"/>
        </w:rPr>
        <w:fldChar w:fldCharType="begin"/>
      </w:r>
      <w:r>
        <w:rPr>
          <w:highlight w:val="none"/>
        </w:rPr>
        <w:instrText xml:space="preserve">HYPERLINK  \l "_Toc16250012" </w:instrText>
      </w:r>
      <w:r>
        <w:rPr>
          <w:highlight w:val="none"/>
        </w:rPr>
        <w:fldChar w:fldCharType="separate"/>
      </w:r>
      <w:r>
        <w:rPr>
          <w:rFonts w:hint="eastAsia" w:ascii="仿宋" w:hAnsi="仿宋" w:eastAsia="仿宋"/>
          <w:color w:val="0563C1"/>
          <w:sz w:val="24"/>
          <w:highlight w:val="none"/>
          <w:u w:val="single"/>
        </w:rPr>
        <w:t>一、基金的基本信息</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_Toc16250012 \h </w:instrText>
      </w:r>
      <w:r>
        <w:rPr>
          <w:rFonts w:ascii="仿宋" w:hAnsi="仿宋" w:eastAsia="仿宋"/>
          <w:sz w:val="24"/>
          <w:highlight w:val="none"/>
        </w:rPr>
        <w:fldChar w:fldCharType="separate"/>
      </w:r>
      <w:r>
        <w:rPr>
          <w:rFonts w:ascii="仿宋" w:hAnsi="仿宋" w:eastAsia="仿宋"/>
          <w:sz w:val="24"/>
          <w:highlight w:val="none"/>
        </w:rPr>
        <w:t>1</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"_Toc16250013" </w:instrText>
      </w:r>
      <w:r>
        <w:rPr>
          <w:highlight w:val="none"/>
        </w:rPr>
        <w:fldChar w:fldCharType="separate"/>
      </w:r>
      <w:r>
        <w:rPr>
          <w:rFonts w:hint="eastAsia" w:ascii="仿宋" w:hAnsi="仿宋" w:eastAsia="仿宋"/>
          <w:color w:val="0563C1"/>
          <w:sz w:val="24"/>
          <w:highlight w:val="none"/>
          <w:u w:val="single"/>
        </w:rPr>
        <w:t>二、基金管理人基本信息</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_Toc16250013 \h </w:instrText>
      </w:r>
      <w:r>
        <w:rPr>
          <w:rFonts w:ascii="仿宋" w:hAnsi="仿宋" w:eastAsia="仿宋"/>
          <w:sz w:val="24"/>
          <w:highlight w:val="none"/>
        </w:rPr>
        <w:fldChar w:fldCharType="separate"/>
      </w:r>
      <w:r>
        <w:rPr>
          <w:rFonts w:ascii="仿宋" w:hAnsi="仿宋" w:eastAsia="仿宋"/>
          <w:sz w:val="24"/>
          <w:highlight w:val="none"/>
        </w:rPr>
        <w:t>2</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"_Toc16250014" </w:instrText>
      </w:r>
      <w:r>
        <w:rPr>
          <w:highlight w:val="none"/>
        </w:rPr>
        <w:fldChar w:fldCharType="separate"/>
      </w:r>
      <w:r>
        <w:rPr>
          <w:rFonts w:hint="eastAsia" w:ascii="仿宋" w:hAnsi="仿宋" w:eastAsia="仿宋"/>
          <w:color w:val="0563C1"/>
          <w:sz w:val="24"/>
          <w:highlight w:val="none"/>
          <w:u w:val="single"/>
        </w:rPr>
        <w:t>三、基金的外包情况</w:t>
      </w:r>
      <w:r>
        <w:rPr>
          <w:rFonts w:ascii="仿宋" w:hAnsi="仿宋" w:eastAsia="仿宋"/>
          <w:color w:val="0563C1"/>
          <w:sz w:val="24"/>
          <w:highlight w:val="none"/>
          <w:u w:val="single"/>
        </w:rPr>
        <w:t>(</w:t>
      </w:r>
      <w:r>
        <w:rPr>
          <w:rFonts w:hint="eastAsia" w:ascii="仿宋" w:hAnsi="仿宋" w:eastAsia="仿宋"/>
          <w:color w:val="0563C1"/>
          <w:sz w:val="24"/>
          <w:highlight w:val="none"/>
          <w:u w:val="single"/>
        </w:rPr>
        <w:t>如有</w:t>
      </w:r>
      <w:r>
        <w:rPr>
          <w:rFonts w:ascii="仿宋" w:hAnsi="仿宋" w:eastAsia="仿宋"/>
          <w:color w:val="0563C1"/>
          <w:sz w:val="24"/>
          <w:highlight w:val="none"/>
          <w:u w:val="single"/>
        </w:rPr>
        <w:t>)</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_Toc16250014 \h </w:instrText>
      </w:r>
      <w:r>
        <w:rPr>
          <w:rFonts w:ascii="仿宋" w:hAnsi="仿宋" w:eastAsia="仿宋"/>
          <w:sz w:val="24"/>
          <w:highlight w:val="none"/>
        </w:rPr>
        <w:fldChar w:fldCharType="separate"/>
      </w:r>
      <w:r>
        <w:rPr>
          <w:rFonts w:ascii="仿宋" w:hAnsi="仿宋" w:eastAsia="仿宋"/>
          <w:sz w:val="24"/>
          <w:highlight w:val="none"/>
        </w:rPr>
        <w:t>2</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"_Toc16250015" </w:instrText>
      </w:r>
      <w:r>
        <w:rPr>
          <w:highlight w:val="none"/>
        </w:rPr>
        <w:fldChar w:fldCharType="separate"/>
      </w:r>
      <w:r>
        <w:rPr>
          <w:rFonts w:hint="eastAsia" w:ascii="仿宋" w:hAnsi="仿宋" w:eastAsia="仿宋"/>
          <w:color w:val="0563C1"/>
          <w:sz w:val="24"/>
          <w:highlight w:val="none"/>
          <w:u w:val="single"/>
        </w:rPr>
        <w:t>四、基金的募集期限</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_Toc16250015 \h </w:instrText>
      </w:r>
      <w:r>
        <w:rPr>
          <w:rFonts w:ascii="仿宋" w:hAnsi="仿宋" w:eastAsia="仿宋"/>
          <w:sz w:val="24"/>
          <w:highlight w:val="none"/>
        </w:rPr>
        <w:fldChar w:fldCharType="separate"/>
      </w:r>
      <w:r>
        <w:rPr>
          <w:rFonts w:ascii="仿宋" w:hAnsi="仿宋" w:eastAsia="仿宋"/>
          <w:sz w:val="24"/>
          <w:highlight w:val="none"/>
        </w:rPr>
        <w:t>2</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"_Toc16250016" </w:instrText>
      </w:r>
      <w:r>
        <w:rPr>
          <w:highlight w:val="none"/>
        </w:rPr>
        <w:fldChar w:fldCharType="separate"/>
      </w:r>
      <w:r>
        <w:rPr>
          <w:rFonts w:hint="eastAsia" w:ascii="仿宋" w:hAnsi="仿宋" w:eastAsia="仿宋"/>
          <w:color w:val="0563C1"/>
          <w:sz w:val="24"/>
          <w:highlight w:val="none"/>
          <w:u w:val="single"/>
        </w:rPr>
        <w:t>五、基金的投资信息</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_Toc16250016 \h </w:instrText>
      </w:r>
      <w:r>
        <w:rPr>
          <w:rFonts w:ascii="仿宋" w:hAnsi="仿宋" w:eastAsia="仿宋"/>
          <w:sz w:val="24"/>
          <w:highlight w:val="none"/>
        </w:rPr>
        <w:fldChar w:fldCharType="separate"/>
      </w:r>
      <w:r>
        <w:rPr>
          <w:rFonts w:ascii="仿宋" w:hAnsi="仿宋" w:eastAsia="仿宋"/>
          <w:sz w:val="24"/>
          <w:highlight w:val="none"/>
        </w:rPr>
        <w:t>2</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"_Toc16250017" </w:instrText>
      </w:r>
      <w:r>
        <w:rPr>
          <w:highlight w:val="none"/>
        </w:rPr>
        <w:fldChar w:fldCharType="separate"/>
      </w:r>
      <w:r>
        <w:rPr>
          <w:rFonts w:hint="eastAsia" w:ascii="仿宋" w:hAnsi="仿宋" w:eastAsia="仿宋"/>
          <w:color w:val="0563C1"/>
          <w:sz w:val="24"/>
          <w:highlight w:val="none"/>
          <w:u w:val="single"/>
        </w:rPr>
        <w:t>六、基金的风险揭示</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_Toc16250017 \h </w:instrText>
      </w:r>
      <w:r>
        <w:rPr>
          <w:rFonts w:ascii="仿宋" w:hAnsi="仿宋" w:eastAsia="仿宋"/>
          <w:sz w:val="24"/>
          <w:highlight w:val="none"/>
        </w:rPr>
        <w:fldChar w:fldCharType="separate"/>
      </w:r>
      <w:r>
        <w:rPr>
          <w:rFonts w:ascii="仿宋" w:hAnsi="仿宋" w:eastAsia="仿宋"/>
          <w:sz w:val="24"/>
          <w:highlight w:val="none"/>
        </w:rPr>
        <w:t>3</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"_Toc16250018" </w:instrText>
      </w:r>
      <w:r>
        <w:rPr>
          <w:highlight w:val="none"/>
        </w:rPr>
        <w:fldChar w:fldCharType="separate"/>
      </w:r>
      <w:r>
        <w:rPr>
          <w:rFonts w:hint="eastAsia" w:ascii="仿宋" w:hAnsi="仿宋" w:eastAsia="仿宋"/>
          <w:color w:val="0563C1"/>
          <w:sz w:val="24"/>
          <w:highlight w:val="none"/>
          <w:u w:val="single"/>
        </w:rPr>
        <w:t>七、基金募集结算资金专用账户及其监督机构信息</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_Toc16250018 \h </w:instrText>
      </w:r>
      <w:r>
        <w:rPr>
          <w:rFonts w:ascii="仿宋" w:hAnsi="仿宋" w:eastAsia="仿宋"/>
          <w:sz w:val="24"/>
          <w:highlight w:val="none"/>
        </w:rPr>
        <w:fldChar w:fldCharType="separate"/>
      </w:r>
      <w:r>
        <w:rPr>
          <w:rFonts w:ascii="仿宋" w:hAnsi="仿宋" w:eastAsia="仿宋"/>
          <w:sz w:val="24"/>
          <w:highlight w:val="none"/>
        </w:rPr>
        <w:t>3</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"_Toc16250019" </w:instrText>
      </w:r>
      <w:r>
        <w:rPr>
          <w:highlight w:val="none"/>
        </w:rPr>
        <w:fldChar w:fldCharType="separate"/>
      </w:r>
      <w:r>
        <w:rPr>
          <w:rFonts w:hint="eastAsia" w:ascii="仿宋" w:hAnsi="仿宋" w:eastAsia="仿宋"/>
          <w:color w:val="0563C1"/>
          <w:sz w:val="24"/>
          <w:highlight w:val="none"/>
          <w:u w:val="single"/>
        </w:rPr>
        <w:t>八、基金认购及出资方式安排</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_Toc16250019 \h </w:instrText>
      </w:r>
      <w:r>
        <w:rPr>
          <w:rFonts w:ascii="仿宋" w:hAnsi="仿宋" w:eastAsia="仿宋"/>
          <w:sz w:val="24"/>
          <w:highlight w:val="none"/>
        </w:rPr>
        <w:fldChar w:fldCharType="separate"/>
      </w:r>
      <w:r>
        <w:rPr>
          <w:rFonts w:ascii="仿宋" w:hAnsi="仿宋" w:eastAsia="仿宋"/>
          <w:sz w:val="24"/>
          <w:highlight w:val="none"/>
        </w:rPr>
        <w:t>3</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"_Toc16250020" </w:instrText>
      </w:r>
      <w:r>
        <w:rPr>
          <w:highlight w:val="none"/>
        </w:rPr>
        <w:fldChar w:fldCharType="separate"/>
      </w:r>
      <w:r>
        <w:rPr>
          <w:rFonts w:hint="eastAsia" w:ascii="仿宋" w:hAnsi="仿宋" w:eastAsia="仿宋"/>
          <w:color w:val="0563C1"/>
          <w:sz w:val="24"/>
          <w:highlight w:val="none"/>
          <w:u w:val="single"/>
        </w:rPr>
        <w:t>九、基金申购、赎回、转让安排</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_Toc16250020 \h </w:instrText>
      </w:r>
      <w:r>
        <w:rPr>
          <w:rFonts w:ascii="仿宋" w:hAnsi="仿宋" w:eastAsia="仿宋"/>
          <w:sz w:val="24"/>
          <w:highlight w:val="none"/>
        </w:rPr>
        <w:fldChar w:fldCharType="separate"/>
      </w:r>
      <w:r>
        <w:rPr>
          <w:rFonts w:ascii="仿宋" w:hAnsi="仿宋" w:eastAsia="仿宋"/>
          <w:sz w:val="24"/>
          <w:highlight w:val="none"/>
        </w:rPr>
        <w:t>3</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"_Toc16250021" </w:instrText>
      </w:r>
      <w:r>
        <w:rPr>
          <w:highlight w:val="none"/>
        </w:rPr>
        <w:fldChar w:fldCharType="separate"/>
      </w:r>
      <w:r>
        <w:rPr>
          <w:rFonts w:hint="eastAsia" w:ascii="仿宋" w:hAnsi="仿宋" w:eastAsia="仿宋"/>
          <w:color w:val="0563C1"/>
          <w:sz w:val="24"/>
          <w:highlight w:val="none"/>
          <w:u w:val="single"/>
        </w:rPr>
        <w:t>十、基金投资者承担的主要费用及费率</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_Toc16250021 \h </w:instrText>
      </w:r>
      <w:r>
        <w:rPr>
          <w:rFonts w:ascii="仿宋" w:hAnsi="仿宋" w:eastAsia="仿宋"/>
          <w:sz w:val="24"/>
          <w:highlight w:val="none"/>
        </w:rPr>
        <w:fldChar w:fldCharType="separate"/>
      </w:r>
      <w:r>
        <w:rPr>
          <w:rFonts w:ascii="仿宋" w:hAnsi="仿宋" w:eastAsia="仿宋"/>
          <w:sz w:val="24"/>
          <w:highlight w:val="none"/>
        </w:rPr>
        <w:t>3</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"_Toc16250022" </w:instrText>
      </w:r>
      <w:r>
        <w:rPr>
          <w:highlight w:val="none"/>
        </w:rPr>
        <w:fldChar w:fldCharType="separate"/>
      </w:r>
      <w:r>
        <w:rPr>
          <w:rFonts w:hint="eastAsia" w:ascii="仿宋" w:hAnsi="仿宋" w:eastAsia="仿宋"/>
          <w:color w:val="0563C1"/>
          <w:sz w:val="24"/>
          <w:highlight w:val="none"/>
          <w:u w:val="single"/>
        </w:rPr>
        <w:t>十一、基金承担的主要费用及费率</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_Toc16250022 \h </w:instrText>
      </w:r>
      <w:r>
        <w:rPr>
          <w:rFonts w:ascii="仿宋" w:hAnsi="仿宋" w:eastAsia="仿宋"/>
          <w:sz w:val="24"/>
          <w:highlight w:val="none"/>
        </w:rPr>
        <w:fldChar w:fldCharType="separate"/>
      </w:r>
      <w:r>
        <w:rPr>
          <w:rFonts w:ascii="仿宋" w:hAnsi="仿宋" w:eastAsia="仿宋"/>
          <w:sz w:val="24"/>
          <w:highlight w:val="none"/>
        </w:rPr>
        <w:t>3</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"_Toc16250023" </w:instrText>
      </w:r>
      <w:r>
        <w:rPr>
          <w:highlight w:val="none"/>
        </w:rPr>
        <w:fldChar w:fldCharType="separate"/>
      </w:r>
      <w:r>
        <w:rPr>
          <w:rFonts w:hint="eastAsia" w:ascii="仿宋" w:hAnsi="仿宋" w:eastAsia="仿宋"/>
          <w:color w:val="0563C1"/>
          <w:sz w:val="24"/>
          <w:highlight w:val="none"/>
          <w:u w:val="single"/>
        </w:rPr>
        <w:t>十二、基金投资者的重要权利</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_Toc16250023 \h </w:instrText>
      </w:r>
      <w:r>
        <w:rPr>
          <w:rFonts w:ascii="仿宋" w:hAnsi="仿宋" w:eastAsia="仿宋"/>
          <w:sz w:val="24"/>
          <w:highlight w:val="none"/>
        </w:rPr>
        <w:fldChar w:fldCharType="separate"/>
      </w:r>
      <w:r>
        <w:rPr>
          <w:rFonts w:ascii="仿宋" w:hAnsi="仿宋" w:eastAsia="仿宋"/>
          <w:sz w:val="24"/>
          <w:highlight w:val="none"/>
        </w:rPr>
        <w:t>4</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"_Toc16250024" </w:instrText>
      </w:r>
      <w:r>
        <w:rPr>
          <w:highlight w:val="none"/>
        </w:rPr>
        <w:fldChar w:fldCharType="separate"/>
      </w:r>
      <w:r>
        <w:rPr>
          <w:rFonts w:hint="eastAsia" w:ascii="仿宋" w:hAnsi="仿宋" w:eastAsia="仿宋"/>
          <w:color w:val="0563C1"/>
          <w:sz w:val="24"/>
          <w:highlight w:val="none"/>
          <w:u w:val="single"/>
        </w:rPr>
        <w:t>十三、基金的估值政策</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_Toc16250024 \h </w:instrText>
      </w:r>
      <w:r>
        <w:rPr>
          <w:rFonts w:ascii="仿宋" w:hAnsi="仿宋" w:eastAsia="仿宋"/>
          <w:sz w:val="24"/>
          <w:highlight w:val="none"/>
        </w:rPr>
        <w:fldChar w:fldCharType="separate"/>
      </w:r>
      <w:r>
        <w:rPr>
          <w:rFonts w:ascii="仿宋" w:hAnsi="仿宋" w:eastAsia="仿宋"/>
          <w:sz w:val="24"/>
          <w:highlight w:val="none"/>
        </w:rPr>
        <w:t>4</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"_Toc16250025" </w:instrText>
      </w:r>
      <w:r>
        <w:rPr>
          <w:highlight w:val="none"/>
        </w:rPr>
        <w:fldChar w:fldCharType="separate"/>
      </w:r>
      <w:r>
        <w:rPr>
          <w:rFonts w:hint="eastAsia" w:ascii="仿宋" w:hAnsi="仿宋" w:eastAsia="仿宋"/>
          <w:color w:val="0563C1"/>
          <w:sz w:val="24"/>
          <w:highlight w:val="none"/>
          <w:u w:val="single"/>
        </w:rPr>
        <w:t>十四、基金的收益分配和亏损分担方式</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_Toc16250025 \h </w:instrText>
      </w:r>
      <w:r>
        <w:rPr>
          <w:rFonts w:ascii="仿宋" w:hAnsi="仿宋" w:eastAsia="仿宋"/>
          <w:sz w:val="24"/>
          <w:highlight w:val="none"/>
        </w:rPr>
        <w:fldChar w:fldCharType="separate"/>
      </w:r>
      <w:r>
        <w:rPr>
          <w:rFonts w:ascii="仿宋" w:hAnsi="仿宋" w:eastAsia="仿宋"/>
          <w:sz w:val="24"/>
          <w:highlight w:val="none"/>
        </w:rPr>
        <w:t>4</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"_Toc16250026" </w:instrText>
      </w:r>
      <w:r>
        <w:rPr>
          <w:highlight w:val="none"/>
        </w:rPr>
        <w:fldChar w:fldCharType="separate"/>
      </w:r>
      <w:r>
        <w:rPr>
          <w:rFonts w:hint="eastAsia" w:ascii="仿宋" w:hAnsi="仿宋" w:eastAsia="仿宋"/>
          <w:color w:val="0563C1"/>
          <w:sz w:val="24"/>
          <w:highlight w:val="none"/>
          <w:u w:val="single"/>
        </w:rPr>
        <w:t>十五、基金信息披露的内容、方式及频率</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_Toc16250026 \h </w:instrText>
      </w:r>
      <w:r>
        <w:rPr>
          <w:rFonts w:ascii="仿宋" w:hAnsi="仿宋" w:eastAsia="仿宋"/>
          <w:sz w:val="24"/>
          <w:highlight w:val="none"/>
        </w:rPr>
        <w:fldChar w:fldCharType="separate"/>
      </w:r>
      <w:r>
        <w:rPr>
          <w:rFonts w:ascii="仿宋" w:hAnsi="仿宋" w:eastAsia="仿宋"/>
          <w:sz w:val="24"/>
          <w:highlight w:val="none"/>
        </w:rPr>
        <w:t>4</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"_Toc16250027" </w:instrText>
      </w:r>
      <w:r>
        <w:rPr>
          <w:highlight w:val="none"/>
        </w:rPr>
        <w:fldChar w:fldCharType="separate"/>
      </w:r>
      <w:r>
        <w:rPr>
          <w:rFonts w:hint="eastAsia" w:ascii="仿宋" w:hAnsi="仿宋" w:eastAsia="仿宋"/>
          <w:color w:val="0563C1"/>
          <w:sz w:val="24"/>
          <w:highlight w:val="none"/>
          <w:u w:val="single"/>
        </w:rPr>
        <w:t>十六、基金招募说明书不得转载或传阅</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_Toc16250027 \h </w:instrText>
      </w:r>
      <w:r>
        <w:rPr>
          <w:rFonts w:ascii="仿宋" w:hAnsi="仿宋" w:eastAsia="仿宋"/>
          <w:sz w:val="24"/>
          <w:highlight w:val="none"/>
        </w:rPr>
        <w:fldChar w:fldCharType="separate"/>
      </w:r>
      <w:r>
        <w:rPr>
          <w:rFonts w:ascii="仿宋" w:hAnsi="仿宋" w:eastAsia="仿宋"/>
          <w:sz w:val="24"/>
          <w:highlight w:val="none"/>
        </w:rPr>
        <w:t>6</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"_Toc16250028" </w:instrText>
      </w:r>
      <w:r>
        <w:rPr>
          <w:highlight w:val="none"/>
        </w:rPr>
        <w:fldChar w:fldCharType="separate"/>
      </w:r>
      <w:r>
        <w:rPr>
          <w:rFonts w:hint="eastAsia" w:ascii="仿宋" w:hAnsi="仿宋" w:eastAsia="仿宋"/>
          <w:color w:val="0563C1"/>
          <w:sz w:val="24"/>
          <w:highlight w:val="none"/>
          <w:u w:val="single"/>
        </w:rPr>
        <w:t>十七、入伙</w:t>
      </w:r>
      <w:r>
        <w:rPr>
          <w:rFonts w:ascii="仿宋" w:hAnsi="仿宋" w:eastAsia="仿宋"/>
          <w:color w:val="0563C1"/>
          <w:sz w:val="24"/>
          <w:highlight w:val="none"/>
          <w:u w:val="single"/>
        </w:rPr>
        <w:t>(</w:t>
      </w:r>
      <w:r>
        <w:rPr>
          <w:rFonts w:hint="eastAsia" w:ascii="仿宋" w:hAnsi="仿宋" w:eastAsia="仿宋"/>
          <w:color w:val="0563C1"/>
          <w:sz w:val="24"/>
          <w:highlight w:val="none"/>
          <w:u w:val="single"/>
        </w:rPr>
        <w:t>股</w:t>
      </w:r>
      <w:r>
        <w:rPr>
          <w:rFonts w:ascii="仿宋" w:hAnsi="仿宋" w:eastAsia="仿宋"/>
          <w:color w:val="0563C1"/>
          <w:sz w:val="24"/>
          <w:highlight w:val="none"/>
          <w:u w:val="single"/>
        </w:rPr>
        <w:t>)</w:t>
      </w:r>
      <w:r>
        <w:rPr>
          <w:rFonts w:hint="eastAsia" w:ascii="仿宋" w:hAnsi="仿宋" w:eastAsia="仿宋"/>
          <w:color w:val="0563C1"/>
          <w:sz w:val="24"/>
          <w:highlight w:val="none"/>
          <w:u w:val="single"/>
        </w:rPr>
        <w:t>协议不能替代合伙协议或公司章程</w:t>
      </w:r>
      <w:r>
        <w:rPr>
          <w:rFonts w:ascii="仿宋" w:hAnsi="仿宋" w:eastAsia="仿宋"/>
          <w:color w:val="0563C1"/>
          <w:sz w:val="24"/>
          <w:highlight w:val="none"/>
          <w:u w:val="single"/>
        </w:rPr>
        <w:t>(</w:t>
      </w:r>
      <w:r>
        <w:rPr>
          <w:rFonts w:hint="eastAsia" w:ascii="仿宋" w:hAnsi="仿宋" w:eastAsia="仿宋"/>
          <w:color w:val="0563C1"/>
          <w:sz w:val="24"/>
          <w:highlight w:val="none"/>
          <w:u w:val="single"/>
        </w:rPr>
        <w:t>公司型、合伙型基金适用</w:t>
      </w:r>
      <w:r>
        <w:rPr>
          <w:rFonts w:ascii="仿宋" w:hAnsi="仿宋" w:eastAsia="仿宋"/>
          <w:color w:val="0563C1"/>
          <w:sz w:val="24"/>
          <w:highlight w:val="none"/>
          <w:u w:val="single"/>
        </w:rPr>
        <w:t>)</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_Toc16250028 \h </w:instrText>
      </w:r>
      <w:r>
        <w:rPr>
          <w:rFonts w:ascii="仿宋" w:hAnsi="仿宋" w:eastAsia="仿宋"/>
          <w:sz w:val="24"/>
          <w:highlight w:val="none"/>
        </w:rPr>
        <w:fldChar w:fldCharType="separate"/>
      </w:r>
      <w:r>
        <w:rPr>
          <w:rFonts w:ascii="仿宋" w:hAnsi="仿宋" w:eastAsia="仿宋"/>
          <w:sz w:val="24"/>
          <w:highlight w:val="none"/>
        </w:rPr>
        <w:t>6</w:t>
      </w:r>
      <w:r>
        <w:rPr>
          <w:rFonts w:ascii="仿宋" w:hAnsi="仿宋" w:eastAsia="仿宋"/>
          <w:sz w:val="24"/>
          <w:highlight w:val="none"/>
        </w:rPr>
        <w:fldChar w:fldCharType="end"/>
      </w:r>
      <w:r>
        <w:rPr>
          <w:highlight w:val="none"/>
        </w:rPr>
        <w:fldChar w:fldCharType="end"/>
      </w:r>
    </w:p>
    <w:p>
      <w:pPr>
        <w:tabs>
          <w:tab w:val="right" w:leader="dot" w:pos="8296"/>
        </w:tabs>
        <w:spacing w:line="360" w:lineRule="auto"/>
        <w:jc w:val="left"/>
        <w:rPr>
          <w:rFonts w:ascii="仿宋" w:hAnsi="仿宋" w:eastAsia="仿宋"/>
          <w:highlight w:val="none"/>
        </w:rPr>
      </w:pPr>
      <w:r>
        <w:rPr>
          <w:highlight w:val="none"/>
        </w:rPr>
        <w:fldChar w:fldCharType="begin"/>
      </w:r>
      <w:r>
        <w:rPr>
          <w:highlight w:val="none"/>
        </w:rPr>
        <w:instrText xml:space="preserve">HYPERLINK  \l "_Toc16250029" </w:instrText>
      </w:r>
      <w:r>
        <w:rPr>
          <w:highlight w:val="none"/>
        </w:rPr>
        <w:fldChar w:fldCharType="separate"/>
      </w:r>
      <w:r>
        <w:rPr>
          <w:rFonts w:hint="eastAsia" w:ascii="仿宋" w:hAnsi="仿宋" w:eastAsia="仿宋"/>
          <w:color w:val="0563C1"/>
          <w:sz w:val="24"/>
          <w:highlight w:val="none"/>
          <w:u w:val="single"/>
        </w:rPr>
        <w:t>十八、普通投资者购买</w:t>
      </w:r>
      <w:r>
        <w:rPr>
          <w:rFonts w:ascii="仿宋" w:hAnsi="仿宋" w:eastAsia="仿宋"/>
          <w:color w:val="0563C1"/>
          <w:sz w:val="24"/>
          <w:highlight w:val="none"/>
          <w:u w:val="single"/>
        </w:rPr>
        <w:t>R5</w:t>
      </w:r>
      <w:r>
        <w:rPr>
          <w:rFonts w:hint="eastAsia" w:ascii="仿宋" w:hAnsi="仿宋" w:eastAsia="仿宋"/>
          <w:color w:val="0563C1"/>
          <w:sz w:val="24"/>
          <w:highlight w:val="none"/>
          <w:u w:val="single"/>
        </w:rPr>
        <w:t>高风险等级基金的特别提示</w:t>
      </w:r>
      <w:r>
        <w:rPr>
          <w:rFonts w:ascii="仿宋" w:hAnsi="仿宋" w:eastAsia="仿宋"/>
          <w:sz w:val="24"/>
          <w:highlight w:val="none"/>
        </w:rPr>
        <w:tab/>
      </w:r>
      <w:r>
        <w:rPr>
          <w:rFonts w:ascii="仿宋" w:hAnsi="仿宋" w:eastAsia="仿宋"/>
          <w:sz w:val="24"/>
          <w:highlight w:val="none"/>
        </w:rPr>
        <w:fldChar w:fldCharType="begin"/>
      </w:r>
      <w:r>
        <w:rPr>
          <w:rFonts w:ascii="仿宋" w:hAnsi="仿宋" w:eastAsia="仿宋"/>
          <w:sz w:val="24"/>
          <w:highlight w:val="none"/>
        </w:rPr>
        <w:instrText xml:space="preserve"> PAGEREF _Toc16250029 \h </w:instrText>
      </w:r>
      <w:r>
        <w:rPr>
          <w:rFonts w:ascii="仿宋" w:hAnsi="仿宋" w:eastAsia="仿宋"/>
          <w:sz w:val="24"/>
          <w:highlight w:val="none"/>
        </w:rPr>
        <w:fldChar w:fldCharType="separate"/>
      </w:r>
      <w:r>
        <w:rPr>
          <w:rFonts w:ascii="仿宋" w:hAnsi="仿宋" w:eastAsia="仿宋"/>
          <w:sz w:val="24"/>
          <w:highlight w:val="none"/>
        </w:rPr>
        <w:t>6</w:t>
      </w:r>
      <w:r>
        <w:rPr>
          <w:rFonts w:ascii="仿宋" w:hAnsi="仿宋" w:eastAsia="仿宋"/>
          <w:sz w:val="24"/>
          <w:highlight w:val="none"/>
        </w:rPr>
        <w:fldChar w:fldCharType="end"/>
      </w:r>
      <w:r>
        <w:rPr>
          <w:highlight w:val="none"/>
        </w:rPr>
        <w:fldChar w:fldCharType="end"/>
      </w:r>
    </w:p>
    <w:p>
      <w:pPr>
        <w:rPr>
          <w:rFonts w:ascii="仿宋" w:hAnsi="仿宋" w:eastAsia="仿宋"/>
          <w:highlight w:val="none"/>
        </w:rPr>
      </w:pPr>
      <w:r>
        <w:rPr>
          <w:rFonts w:ascii="仿宋" w:hAnsi="仿宋" w:eastAsia="仿宋"/>
          <w:highlight w:val="none"/>
        </w:rPr>
        <w:fldChar w:fldCharType="end"/>
      </w:r>
    </w:p>
    <w:p>
      <w:pPr>
        <w:rPr>
          <w:rFonts w:ascii="仿宋" w:hAnsi="仿宋" w:eastAsia="仿宋"/>
          <w:highlight w:val="none"/>
        </w:rPr>
        <w:sectPr>
          <w:pgSz w:w="11906" w:h="16838"/>
          <w:pgMar w:top="1440" w:right="1800" w:bottom="1440" w:left="1800" w:header="851" w:footer="992" w:gutter="0"/>
          <w:pgNumType w:start="1"/>
          <w:cols w:space="720" w:num="1"/>
          <w:docGrid w:type="lines" w:linePitch="312" w:charSpace="0"/>
        </w:sectPr>
      </w:pPr>
    </w:p>
    <w:p>
      <w:pPr>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特别提示</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本基金招募说明书依据《私募投资基金监督管理暂行办法》(以下简称《私募办法》)、《私募投资基金募集行为管理办法》(以下简称《募集办法》)、《私募投资基金信息披露管理办法》(以下简称《信息披露办法》)</w:t>
      </w:r>
      <w:r>
        <w:rPr>
          <w:rFonts w:ascii="仿宋" w:hAnsi="仿宋" w:eastAsia="仿宋"/>
          <w:sz w:val="24"/>
          <w:szCs w:val="24"/>
          <w:highlight w:val="none"/>
        </w:rPr>
        <w:t>及其他有关规定制作，基金管理人保证本招募说明书的内容真实、准确、完整，不存在任何虚假内容、误导性陈述和重大遗漏。</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投资者承诺以真实身份投资本基金，保证投资本基金财产的来源及用途合法，并已阅知本招募说明书，了解相关权利、义务和风险，自行承担投资风险和损失。</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基金管理人承诺以诚实信用、勤勉尽责的原则管理和运用基金资产，但不保证基金一定盈利，也不保证最低收益。投资有风险，投资者认购、申购本基金时应认真阅读本招募说明书。基金管理人的过往业绩不代表未来业绩。</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投资者签署基金合同、公司章程或者合伙协议</w:t>
      </w:r>
      <w:r>
        <w:rPr>
          <w:rFonts w:ascii="仿宋" w:hAnsi="仿宋" w:eastAsia="仿宋"/>
          <w:sz w:val="24"/>
          <w:szCs w:val="24"/>
          <w:highlight w:val="none"/>
        </w:rPr>
        <w:t>(以下统称基金合同</w:t>
      </w:r>
      <w:r>
        <w:rPr>
          <w:rFonts w:hint="eastAsia" w:ascii="仿宋" w:hAnsi="仿宋" w:eastAsia="仿宋"/>
          <w:sz w:val="24"/>
          <w:szCs w:val="24"/>
          <w:highlight w:val="none"/>
        </w:rPr>
        <w:t>)，且基金合同生效后，投资者即为基金合同的委托人，其认购或申购基金份额的行为本身即表明其对本招募说明书及基金合同的承认和接受。投资者将按照《私募办法》、《募集办法》、《信息披露办法》、基金合同、本招募说明书及有关规定享有权利、承担义务。</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基金管理人保证本</w:t>
      </w:r>
      <w:r>
        <w:rPr>
          <w:rFonts w:ascii="仿宋" w:hAnsi="仿宋" w:eastAsia="仿宋"/>
          <w:sz w:val="24"/>
          <w:szCs w:val="24"/>
          <w:highlight w:val="none"/>
        </w:rPr>
        <w:t>招募说明书如实披露了本基金</w:t>
      </w:r>
      <w:r>
        <w:rPr>
          <w:rFonts w:hint="eastAsia" w:ascii="仿宋" w:hAnsi="仿宋" w:eastAsia="仿宋"/>
          <w:sz w:val="24"/>
          <w:szCs w:val="24"/>
          <w:highlight w:val="none"/>
        </w:rPr>
        <w:t>的基本信息，并与基金合同内容保持一致。</w:t>
      </w:r>
    </w:p>
    <w:p>
      <w:pPr>
        <w:spacing w:before="120" w:after="120" w:line="360" w:lineRule="auto"/>
        <w:jc w:val="left"/>
        <w:outlineLvl w:val="0"/>
        <w:rPr>
          <w:rFonts w:ascii="仿宋" w:hAnsi="仿宋" w:eastAsia="仿宋"/>
          <w:b/>
          <w:bCs/>
          <w:kern w:val="44"/>
          <w:sz w:val="24"/>
          <w:szCs w:val="44"/>
          <w:highlight w:val="none"/>
        </w:rPr>
      </w:pPr>
      <w:bookmarkStart w:id="1" w:name="_Toc487030476"/>
      <w:bookmarkStart w:id="2" w:name="_Toc16250012"/>
      <w:r>
        <w:rPr>
          <w:rFonts w:hint="eastAsia" w:ascii="仿宋" w:hAnsi="仿宋" w:eastAsia="仿宋"/>
          <w:b/>
          <w:bCs/>
          <w:kern w:val="44"/>
          <w:sz w:val="24"/>
          <w:szCs w:val="44"/>
          <w:highlight w:val="none"/>
        </w:rPr>
        <w:t>一、基金的基本</w:t>
      </w:r>
      <w:bookmarkEnd w:id="1"/>
      <w:r>
        <w:rPr>
          <w:rFonts w:hint="eastAsia" w:ascii="仿宋" w:hAnsi="仿宋" w:eastAsia="仿宋"/>
          <w:b/>
          <w:bCs/>
          <w:kern w:val="44"/>
          <w:sz w:val="24"/>
          <w:szCs w:val="44"/>
          <w:highlight w:val="none"/>
        </w:rPr>
        <w:t>信息</w:t>
      </w:r>
      <w:bookmarkEnd w:id="2"/>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.基金</w:t>
      </w:r>
      <w:r>
        <w:rPr>
          <w:rFonts w:ascii="仿宋" w:hAnsi="仿宋" w:eastAsia="仿宋"/>
          <w:sz w:val="24"/>
          <w:szCs w:val="24"/>
          <w:highlight w:val="none"/>
        </w:rPr>
        <w:t>名称：</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.组织形式</w:t>
      </w:r>
      <w:r>
        <w:rPr>
          <w:rFonts w:ascii="仿宋" w:hAnsi="仿宋" w:eastAsia="仿宋"/>
          <w:sz w:val="24"/>
          <w:szCs w:val="24"/>
          <w:highlight w:val="none"/>
        </w:rPr>
        <w:t>：</w:t>
      </w:r>
      <w:r>
        <w:rPr>
          <w:rFonts w:hint="eastAsia" w:ascii="仿宋" w:hAnsi="仿宋" w:eastAsia="仿宋"/>
          <w:sz w:val="24"/>
          <w:szCs w:val="24"/>
          <w:highlight w:val="none"/>
        </w:rPr>
        <w:t>□合伙型 □公司型 □契约型</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.基金</w:t>
      </w:r>
      <w:r>
        <w:rPr>
          <w:rFonts w:ascii="仿宋" w:hAnsi="仿宋" w:eastAsia="仿宋"/>
          <w:sz w:val="24"/>
          <w:szCs w:val="24"/>
          <w:highlight w:val="none"/>
        </w:rPr>
        <w:t>类型：</w:t>
      </w:r>
      <w:r>
        <w:rPr>
          <w:rFonts w:hint="eastAsia" w:ascii="仿宋" w:hAnsi="仿宋" w:eastAsia="仿宋"/>
          <w:sz w:val="24"/>
          <w:szCs w:val="24"/>
          <w:highlight w:val="none"/>
        </w:rPr>
        <w:t xml:space="preserve">□私募股权投资基金 </w:t>
      </w:r>
      <w:r>
        <w:rPr>
          <w:rFonts w:ascii="仿宋" w:hAnsi="仿宋" w:eastAsia="仿宋"/>
          <w:sz w:val="24"/>
          <w:szCs w:val="24"/>
          <w:highlight w:val="none"/>
        </w:rPr>
        <w:t xml:space="preserve"> </w:t>
      </w:r>
      <w:r>
        <w:rPr>
          <w:rFonts w:hint="eastAsia" w:ascii="仿宋" w:hAnsi="仿宋" w:eastAsia="仿宋"/>
          <w:sz w:val="24"/>
          <w:szCs w:val="24"/>
          <w:highlight w:val="none"/>
        </w:rPr>
        <w:t xml:space="preserve">□私募股权投资类FOF </w:t>
      </w:r>
    </w:p>
    <w:p>
      <w:pPr>
        <w:spacing w:line="360" w:lineRule="auto"/>
        <w:ind w:firstLine="1920" w:firstLineChars="800"/>
        <w:rPr>
          <w:rFonts w:ascii="仿宋" w:hAnsi="仿宋" w:eastAsia="仿宋"/>
          <w:sz w:val="24"/>
          <w:szCs w:val="24"/>
          <w:highlight w:val="none"/>
        </w:rPr>
      </w:pPr>
      <w:r>
        <w:rPr>
          <w:rFonts w:hint="eastAsia" w:ascii="仿宋" w:hAnsi="仿宋" w:eastAsia="仿宋"/>
          <w:sz w:val="24"/>
          <w:szCs w:val="24"/>
          <w:highlight w:val="none"/>
        </w:rPr>
        <w:t xml:space="preserve">□创业投资基金 </w:t>
      </w:r>
      <w:r>
        <w:rPr>
          <w:rFonts w:ascii="仿宋" w:hAnsi="仿宋" w:eastAsia="仿宋"/>
          <w:sz w:val="24"/>
          <w:szCs w:val="24"/>
          <w:highlight w:val="none"/>
        </w:rPr>
        <w:t xml:space="preserve">     </w:t>
      </w:r>
      <w:r>
        <w:rPr>
          <w:rFonts w:hint="eastAsia" w:ascii="仿宋" w:hAnsi="仿宋" w:eastAsia="仿宋"/>
          <w:sz w:val="24"/>
          <w:szCs w:val="24"/>
          <w:highlight w:val="none"/>
        </w:rPr>
        <w:t>□创业投资类FOF</w:t>
      </w:r>
    </w:p>
    <w:p>
      <w:pPr>
        <w:spacing w:line="360" w:lineRule="auto"/>
        <w:rPr>
          <w:rFonts w:ascii="仿宋" w:hAnsi="仿宋" w:eastAsia="仿宋"/>
          <w:sz w:val="24"/>
          <w:szCs w:val="24"/>
          <w:highlight w:val="none"/>
        </w:rPr>
      </w:pPr>
      <w:r>
        <w:rPr>
          <w:rFonts w:ascii="仿宋" w:hAnsi="仿宋" w:eastAsia="仿宋"/>
          <w:sz w:val="24"/>
          <w:szCs w:val="24"/>
          <w:highlight w:val="none"/>
        </w:rPr>
        <w:t xml:space="preserve">    4.基金架构</w:t>
      </w:r>
      <w:r>
        <w:rPr>
          <w:rFonts w:hint="eastAsia" w:ascii="仿宋" w:hAnsi="仿宋" w:eastAsia="仿宋"/>
          <w:sz w:val="24"/>
          <w:szCs w:val="24"/>
          <w:highlight w:val="none"/>
        </w:rPr>
        <w:t xml:space="preserve">：□是 □否为母子基金 </w:t>
      </w:r>
      <w:r>
        <w:rPr>
          <w:rFonts w:ascii="仿宋" w:hAnsi="仿宋" w:eastAsia="仿宋"/>
          <w:sz w:val="24"/>
          <w:szCs w:val="24"/>
          <w:highlight w:val="none"/>
        </w:rPr>
        <w:t xml:space="preserve"> </w:t>
      </w:r>
      <w:r>
        <w:rPr>
          <w:rFonts w:hint="eastAsia" w:ascii="仿宋" w:hAnsi="仿宋" w:eastAsia="仿宋"/>
          <w:sz w:val="24"/>
          <w:szCs w:val="24"/>
          <w:highlight w:val="none"/>
        </w:rPr>
        <w:t>□是 □否有平行基金</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5</w:t>
      </w:r>
      <w:r>
        <w:rPr>
          <w:rFonts w:hint="eastAsia" w:ascii="仿宋" w:hAnsi="仿宋" w:eastAsia="仿宋"/>
          <w:sz w:val="24"/>
          <w:szCs w:val="24"/>
          <w:highlight w:val="none"/>
        </w:rPr>
        <w:t>.</w:t>
      </w:r>
      <w:r>
        <w:rPr>
          <w:rFonts w:ascii="仿宋" w:hAnsi="仿宋" w:eastAsia="仿宋"/>
          <w:sz w:val="24"/>
          <w:szCs w:val="24"/>
          <w:highlight w:val="none"/>
        </w:rPr>
        <w:t>基金注册地(如有)：</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6</w:t>
      </w:r>
      <w:r>
        <w:rPr>
          <w:rFonts w:hint="eastAsia" w:ascii="仿宋" w:hAnsi="仿宋" w:eastAsia="仿宋"/>
          <w:sz w:val="24"/>
          <w:szCs w:val="24"/>
          <w:highlight w:val="none"/>
        </w:rPr>
        <w:t>.</w:t>
      </w:r>
      <w:r>
        <w:rPr>
          <w:rFonts w:ascii="仿宋" w:hAnsi="仿宋" w:eastAsia="仿宋"/>
          <w:sz w:val="24"/>
          <w:szCs w:val="24"/>
          <w:highlight w:val="none"/>
        </w:rPr>
        <w:t>基金募集规模：</w:t>
      </w:r>
      <w:r>
        <w:rPr>
          <w:rFonts w:hint="eastAsia" w:ascii="仿宋" w:hAnsi="仿宋" w:eastAsia="仿宋"/>
          <w:sz w:val="24"/>
          <w:szCs w:val="24"/>
          <w:highlight w:val="none"/>
        </w:rPr>
        <w:t>人民币【 】元</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7</w:t>
      </w:r>
      <w:r>
        <w:rPr>
          <w:rFonts w:hint="eastAsia" w:ascii="仿宋" w:hAnsi="仿宋" w:eastAsia="仿宋"/>
          <w:sz w:val="24"/>
          <w:szCs w:val="24"/>
          <w:highlight w:val="none"/>
        </w:rPr>
        <w:t>.</w:t>
      </w:r>
      <w:r>
        <w:rPr>
          <w:rFonts w:ascii="仿宋" w:hAnsi="仿宋" w:eastAsia="仿宋"/>
          <w:sz w:val="24"/>
          <w:szCs w:val="24"/>
          <w:highlight w:val="none"/>
        </w:rPr>
        <w:t>基金成立最低募集规模</w:t>
      </w:r>
      <w:r>
        <w:rPr>
          <w:rFonts w:hint="eastAsia" w:ascii="仿宋" w:hAnsi="仿宋" w:eastAsia="仿宋"/>
          <w:sz w:val="24"/>
          <w:szCs w:val="24"/>
          <w:highlight w:val="none"/>
        </w:rPr>
        <w:t>(如有</w:t>
      </w:r>
      <w:r>
        <w:rPr>
          <w:rFonts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8</w:t>
      </w:r>
      <w:r>
        <w:rPr>
          <w:rFonts w:hint="eastAsia" w:ascii="仿宋" w:hAnsi="仿宋" w:eastAsia="仿宋"/>
          <w:sz w:val="24"/>
          <w:szCs w:val="24"/>
          <w:highlight w:val="none"/>
        </w:rPr>
        <w:t>.</w:t>
      </w:r>
      <w:r>
        <w:rPr>
          <w:rFonts w:ascii="仿宋" w:hAnsi="仿宋" w:eastAsia="仿宋"/>
          <w:sz w:val="24"/>
          <w:szCs w:val="24"/>
          <w:highlight w:val="none"/>
        </w:rPr>
        <w:t>基金最低</w:t>
      </w:r>
      <w:r>
        <w:rPr>
          <w:rFonts w:hint="eastAsia" w:ascii="仿宋" w:hAnsi="仿宋" w:eastAsia="仿宋"/>
          <w:sz w:val="24"/>
          <w:szCs w:val="24"/>
          <w:highlight w:val="none"/>
        </w:rPr>
        <w:t>认缴出资额</w:t>
      </w:r>
      <w:r>
        <w:rPr>
          <w:rFonts w:ascii="仿宋" w:hAnsi="仿宋" w:eastAsia="仿宋"/>
          <w:sz w:val="24"/>
          <w:szCs w:val="24"/>
          <w:highlight w:val="none"/>
        </w:rPr>
        <w:t>：</w:t>
      </w:r>
      <w:r>
        <w:rPr>
          <w:rFonts w:hint="eastAsia" w:ascii="仿宋" w:hAnsi="仿宋" w:eastAsia="仿宋"/>
          <w:sz w:val="24"/>
          <w:szCs w:val="24"/>
          <w:highlight w:val="none"/>
        </w:rPr>
        <w:t>人民币100万元</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9</w:t>
      </w:r>
      <w:r>
        <w:rPr>
          <w:rFonts w:hint="eastAsia" w:ascii="仿宋" w:hAnsi="仿宋" w:eastAsia="仿宋"/>
          <w:sz w:val="24"/>
          <w:szCs w:val="24"/>
          <w:highlight w:val="none"/>
        </w:rPr>
        <w:t>.基金初始面值：人民币【1.</w:t>
      </w:r>
      <w:r>
        <w:rPr>
          <w:rFonts w:ascii="仿宋" w:hAnsi="仿宋" w:eastAsia="仿宋"/>
          <w:sz w:val="24"/>
          <w:szCs w:val="24"/>
          <w:highlight w:val="none"/>
        </w:rPr>
        <w:t>00</w:t>
      </w:r>
      <w:r>
        <w:rPr>
          <w:rFonts w:hint="eastAsia" w:ascii="仿宋" w:hAnsi="仿宋" w:eastAsia="仿宋"/>
          <w:sz w:val="24"/>
          <w:szCs w:val="24"/>
          <w:highlight w:val="none"/>
        </w:rPr>
        <w:t>】元</w:t>
      </w:r>
    </w:p>
    <w:p>
      <w:pPr>
        <w:spacing w:line="360" w:lineRule="auto"/>
        <w:ind w:firstLine="480" w:firstLineChars="200"/>
        <w:rPr>
          <w:rFonts w:ascii="仿宋" w:hAnsi="仿宋" w:eastAsia="仿宋"/>
          <w:sz w:val="24"/>
          <w:szCs w:val="24"/>
          <w:highlight w:val="none"/>
          <w:u w:val="single"/>
        </w:rPr>
      </w:pPr>
      <w:r>
        <w:rPr>
          <w:rFonts w:ascii="仿宋" w:hAnsi="仿宋" w:eastAsia="仿宋"/>
          <w:sz w:val="24"/>
          <w:szCs w:val="24"/>
          <w:highlight w:val="none"/>
        </w:rPr>
        <w:t>10</w:t>
      </w:r>
      <w:r>
        <w:rPr>
          <w:rFonts w:hint="eastAsia" w:ascii="仿宋" w:hAnsi="仿宋" w:eastAsia="仿宋"/>
          <w:sz w:val="24"/>
          <w:szCs w:val="24"/>
          <w:highlight w:val="none"/>
        </w:rPr>
        <w:t>.</w:t>
      </w:r>
      <w:r>
        <w:rPr>
          <w:rFonts w:ascii="仿宋" w:hAnsi="仿宋" w:eastAsia="仿宋"/>
          <w:sz w:val="24"/>
          <w:szCs w:val="24"/>
          <w:highlight w:val="none"/>
        </w:rPr>
        <w:t>基金运作方式：</w:t>
      </w:r>
      <w:bookmarkStart w:id="3" w:name="_Hlk487099278"/>
      <w:r>
        <w:rPr>
          <w:rFonts w:hint="eastAsia" w:ascii="仿宋" w:hAnsi="仿宋" w:eastAsia="仿宋"/>
          <w:sz w:val="24"/>
          <w:szCs w:val="24"/>
          <w:highlight w:val="none"/>
        </w:rPr>
        <w:t>□</w:t>
      </w:r>
      <w:r>
        <w:rPr>
          <w:rFonts w:ascii="仿宋" w:hAnsi="仿宋" w:eastAsia="仿宋"/>
          <w:sz w:val="24"/>
          <w:szCs w:val="24"/>
          <w:highlight w:val="none"/>
        </w:rPr>
        <w:t>封闭式</w:t>
      </w:r>
      <w:r>
        <w:rPr>
          <w:rFonts w:hint="eastAsia" w:ascii="仿宋" w:hAnsi="仿宋" w:eastAsia="仿宋"/>
          <w:sz w:val="24"/>
          <w:szCs w:val="24"/>
          <w:highlight w:val="none"/>
        </w:rPr>
        <w:t xml:space="preserve"> □</w:t>
      </w:r>
      <w:r>
        <w:rPr>
          <w:rFonts w:ascii="仿宋" w:hAnsi="仿宋" w:eastAsia="仿宋"/>
          <w:sz w:val="24"/>
          <w:szCs w:val="24"/>
          <w:highlight w:val="none"/>
        </w:rPr>
        <w:t>开放式</w:t>
      </w:r>
      <w:r>
        <w:rPr>
          <w:rFonts w:hint="eastAsia" w:ascii="仿宋" w:hAnsi="仿宋" w:eastAsia="仿宋"/>
          <w:sz w:val="24"/>
          <w:szCs w:val="24"/>
          <w:highlight w:val="none"/>
        </w:rPr>
        <w:t xml:space="preserve"> □</w:t>
      </w:r>
      <w:r>
        <w:rPr>
          <w:rFonts w:ascii="仿宋" w:hAnsi="仿宋" w:eastAsia="仿宋"/>
          <w:sz w:val="24"/>
          <w:szCs w:val="24"/>
          <w:highlight w:val="none"/>
        </w:rPr>
        <w:t>其他方式</w:t>
      </w:r>
      <w:bookmarkEnd w:id="3"/>
      <w:r>
        <w:rPr>
          <w:rFonts w:hint="eastAsia" w:ascii="仿宋" w:hAnsi="仿宋" w:eastAsia="仿宋"/>
          <w:sz w:val="24"/>
          <w:szCs w:val="24"/>
          <w:highlight w:val="none"/>
          <w:u w:val="single"/>
        </w:rPr>
        <w:t xml:space="preserve"> </w:t>
      </w:r>
      <w:r>
        <w:rPr>
          <w:rFonts w:ascii="仿宋" w:hAnsi="仿宋" w:eastAsia="仿宋"/>
          <w:sz w:val="24"/>
          <w:szCs w:val="24"/>
          <w:highlight w:val="none"/>
          <w:u w:val="single"/>
        </w:rPr>
        <w:t xml:space="preserve">         </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11</w:t>
      </w:r>
      <w:r>
        <w:rPr>
          <w:rFonts w:hint="eastAsia" w:ascii="仿宋" w:hAnsi="仿宋" w:eastAsia="仿宋"/>
          <w:sz w:val="24"/>
          <w:szCs w:val="24"/>
          <w:highlight w:val="none"/>
        </w:rPr>
        <w:t>.</w:t>
      </w:r>
      <w:r>
        <w:rPr>
          <w:rFonts w:ascii="仿宋" w:hAnsi="仿宋" w:eastAsia="仿宋"/>
          <w:sz w:val="24"/>
          <w:szCs w:val="24"/>
          <w:highlight w:val="none"/>
        </w:rPr>
        <w:t>基金的存续期限：</w:t>
      </w:r>
      <w:r>
        <w:rPr>
          <w:rFonts w:hint="eastAsia" w:ascii="仿宋" w:hAnsi="仿宋" w:eastAsia="仿宋"/>
          <w:sz w:val="24"/>
          <w:szCs w:val="24"/>
          <w:highlight w:val="none"/>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rPr>
        <w:t>】个月</w:t>
      </w:r>
      <w:r>
        <w:rPr>
          <w:rFonts w:ascii="仿宋" w:hAnsi="仿宋" w:eastAsia="仿宋"/>
          <w:sz w:val="24"/>
          <w:szCs w:val="24"/>
          <w:highlight w:val="none"/>
        </w:rPr>
        <w:t>/</w:t>
      </w:r>
      <w:r>
        <w:rPr>
          <w:rFonts w:hint="eastAsia" w:ascii="仿宋" w:hAnsi="仿宋" w:eastAsia="仿宋"/>
          <w:sz w:val="24"/>
          <w:szCs w:val="24"/>
          <w:highlight w:val="none"/>
        </w:rPr>
        <w:t xml:space="preserve">□【 </w:t>
      </w:r>
      <w:r>
        <w:rPr>
          <w:rFonts w:ascii="仿宋" w:hAnsi="仿宋" w:eastAsia="仿宋"/>
          <w:sz w:val="24"/>
          <w:szCs w:val="24"/>
          <w:highlight w:val="none"/>
        </w:rPr>
        <w:t xml:space="preserve"> </w:t>
      </w:r>
      <w:r>
        <w:rPr>
          <w:rFonts w:hint="eastAsia" w:ascii="仿宋" w:hAnsi="仿宋" w:eastAsia="仿宋"/>
          <w:sz w:val="24"/>
          <w:szCs w:val="24"/>
          <w:highlight w:val="none"/>
        </w:rPr>
        <w:t>】年</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基金的分级安排：</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3.</w:t>
      </w:r>
      <w:r>
        <w:rPr>
          <w:rFonts w:hint="eastAsia" w:ascii="仿宋" w:hAnsi="仿宋" w:eastAsia="仿宋"/>
          <w:sz w:val="24"/>
          <w:szCs w:val="24"/>
          <w:highlight w:val="none"/>
        </w:rPr>
        <w:t>基金托管人</w:t>
      </w:r>
      <w:r>
        <w:rPr>
          <w:rFonts w:ascii="仿宋" w:hAnsi="仿宋" w:eastAsia="仿宋"/>
          <w:sz w:val="24"/>
          <w:szCs w:val="24"/>
          <w:highlight w:val="none"/>
        </w:rPr>
        <w:t>(如有)</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14</w:t>
      </w:r>
      <w:r>
        <w:rPr>
          <w:rFonts w:hint="eastAsia" w:ascii="仿宋" w:hAnsi="仿宋" w:eastAsia="仿宋"/>
          <w:sz w:val="24"/>
          <w:szCs w:val="24"/>
          <w:highlight w:val="none"/>
        </w:rPr>
        <w:t>.基金</w:t>
      </w:r>
      <w:r>
        <w:rPr>
          <w:rFonts w:ascii="仿宋" w:hAnsi="仿宋" w:eastAsia="仿宋"/>
          <w:sz w:val="24"/>
          <w:szCs w:val="24"/>
          <w:highlight w:val="none"/>
        </w:rPr>
        <w:t>联系</w:t>
      </w:r>
      <w:r>
        <w:rPr>
          <w:rFonts w:hint="eastAsia" w:ascii="仿宋" w:hAnsi="仿宋" w:eastAsia="仿宋"/>
          <w:sz w:val="24"/>
          <w:szCs w:val="24"/>
          <w:highlight w:val="none"/>
        </w:rPr>
        <w:t xml:space="preserve">人： </w:t>
      </w:r>
      <w:r>
        <w:rPr>
          <w:rFonts w:ascii="仿宋" w:hAnsi="仿宋" w:eastAsia="仿宋"/>
          <w:sz w:val="24"/>
          <w:szCs w:val="24"/>
          <w:highlight w:val="none"/>
        </w:rPr>
        <w:t xml:space="preserve">          联系</w:t>
      </w:r>
      <w:r>
        <w:rPr>
          <w:rFonts w:hint="eastAsia" w:ascii="仿宋" w:hAnsi="仿宋" w:eastAsia="仿宋"/>
          <w:sz w:val="24"/>
          <w:szCs w:val="24"/>
          <w:highlight w:val="none"/>
        </w:rPr>
        <w:t>电话：</w:t>
      </w:r>
    </w:p>
    <w:p>
      <w:pPr>
        <w:spacing w:before="120" w:after="120" w:line="360" w:lineRule="auto"/>
        <w:jc w:val="left"/>
        <w:outlineLvl w:val="0"/>
        <w:rPr>
          <w:rFonts w:ascii="仿宋" w:hAnsi="仿宋" w:eastAsia="仿宋"/>
          <w:b/>
          <w:bCs/>
          <w:kern w:val="44"/>
          <w:sz w:val="24"/>
          <w:szCs w:val="44"/>
          <w:highlight w:val="none"/>
        </w:rPr>
      </w:pPr>
      <w:bookmarkStart w:id="4" w:name="_Toc16250013"/>
      <w:bookmarkStart w:id="5" w:name="_Toc487030477"/>
      <w:r>
        <w:rPr>
          <w:rFonts w:hint="eastAsia" w:ascii="仿宋" w:hAnsi="仿宋" w:eastAsia="仿宋"/>
          <w:b/>
          <w:bCs/>
          <w:kern w:val="44"/>
          <w:sz w:val="24"/>
          <w:szCs w:val="44"/>
          <w:highlight w:val="none"/>
        </w:rPr>
        <w:t>二、基金管理人基本信息</w:t>
      </w:r>
      <w:bookmarkEnd w:id="4"/>
      <w:bookmarkEnd w:id="5"/>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1.基金管理人名称：</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2</w:t>
      </w:r>
      <w:r>
        <w:rPr>
          <w:rFonts w:ascii="仿宋" w:hAnsi="仿宋" w:eastAsia="仿宋"/>
          <w:sz w:val="24"/>
          <w:szCs w:val="24"/>
          <w:highlight w:val="none"/>
        </w:rPr>
        <w:t>.</w:t>
      </w:r>
      <w:r>
        <w:rPr>
          <w:rFonts w:hint="eastAsia" w:ascii="仿宋" w:hAnsi="仿宋" w:eastAsia="仿宋"/>
          <w:sz w:val="24"/>
          <w:szCs w:val="24"/>
          <w:highlight w:val="none"/>
        </w:rPr>
        <w:t>注册地</w:t>
      </w:r>
      <w:r>
        <w:rPr>
          <w:rFonts w:ascii="仿宋" w:hAnsi="仿宋" w:eastAsia="仿宋"/>
          <w:sz w:val="24"/>
          <w:szCs w:val="24"/>
          <w:highlight w:val="none"/>
        </w:rPr>
        <w:t>/主要经营地址</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 xml:space="preserve">成立时间： </w:t>
      </w:r>
      <w:r>
        <w:rPr>
          <w:rFonts w:ascii="仿宋" w:hAnsi="仿宋" w:eastAsia="仿宋"/>
          <w:sz w:val="24"/>
          <w:szCs w:val="24"/>
          <w:highlight w:val="none"/>
        </w:rPr>
        <w:t xml:space="preserve">   </w:t>
      </w:r>
      <w:r>
        <w:rPr>
          <w:rFonts w:hint="eastAsia" w:ascii="仿宋" w:hAnsi="仿宋" w:eastAsia="仿宋"/>
          <w:sz w:val="24"/>
          <w:szCs w:val="24"/>
          <w:highlight w:val="none"/>
        </w:rPr>
        <w:t xml:space="preserve">年 </w:t>
      </w:r>
      <w:r>
        <w:rPr>
          <w:rFonts w:ascii="仿宋" w:hAnsi="仿宋" w:eastAsia="仿宋"/>
          <w:sz w:val="24"/>
          <w:szCs w:val="24"/>
          <w:highlight w:val="none"/>
        </w:rPr>
        <w:t xml:space="preserve"> </w:t>
      </w:r>
      <w:r>
        <w:rPr>
          <w:rFonts w:hint="eastAsia" w:ascii="仿宋" w:hAnsi="仿宋" w:eastAsia="仿宋"/>
          <w:sz w:val="24"/>
          <w:szCs w:val="24"/>
          <w:highlight w:val="none"/>
        </w:rPr>
        <w:t xml:space="preserve">月 </w:t>
      </w:r>
      <w:r>
        <w:rPr>
          <w:rFonts w:ascii="仿宋" w:hAnsi="仿宋" w:eastAsia="仿宋"/>
          <w:sz w:val="24"/>
          <w:szCs w:val="24"/>
          <w:highlight w:val="none"/>
        </w:rPr>
        <w:t xml:space="preserve"> </w:t>
      </w:r>
      <w:r>
        <w:rPr>
          <w:rFonts w:hint="eastAsia" w:ascii="仿宋" w:hAnsi="仿宋" w:eastAsia="仿宋"/>
          <w:sz w:val="24"/>
          <w:szCs w:val="24"/>
          <w:highlight w:val="none"/>
        </w:rPr>
        <w:t>日</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组织形式：□公司制 □合伙制</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5.</w:t>
      </w:r>
      <w:r>
        <w:rPr>
          <w:rFonts w:hint="eastAsia" w:ascii="仿宋" w:hAnsi="仿宋" w:eastAsia="仿宋"/>
          <w:sz w:val="24"/>
          <w:szCs w:val="24"/>
          <w:highlight w:val="none"/>
        </w:rPr>
        <w:t xml:space="preserve">管理人登记时间： </w:t>
      </w:r>
      <w:r>
        <w:rPr>
          <w:rFonts w:ascii="仿宋" w:hAnsi="仿宋" w:eastAsia="仿宋"/>
          <w:sz w:val="24"/>
          <w:szCs w:val="24"/>
          <w:highlight w:val="none"/>
        </w:rPr>
        <w:t xml:space="preserve">  </w:t>
      </w:r>
      <w:r>
        <w:rPr>
          <w:rFonts w:hint="eastAsia" w:ascii="仿宋" w:hAnsi="仿宋" w:eastAsia="仿宋"/>
          <w:sz w:val="24"/>
          <w:szCs w:val="24"/>
          <w:highlight w:val="none"/>
        </w:rPr>
        <w:t xml:space="preserve">年 </w:t>
      </w:r>
      <w:r>
        <w:rPr>
          <w:rFonts w:ascii="仿宋" w:hAnsi="仿宋" w:eastAsia="仿宋"/>
          <w:sz w:val="24"/>
          <w:szCs w:val="24"/>
          <w:highlight w:val="none"/>
        </w:rPr>
        <w:t xml:space="preserve"> </w:t>
      </w:r>
      <w:r>
        <w:rPr>
          <w:rFonts w:hint="eastAsia" w:ascii="仿宋" w:hAnsi="仿宋" w:eastAsia="仿宋"/>
          <w:sz w:val="24"/>
          <w:szCs w:val="24"/>
          <w:highlight w:val="none"/>
        </w:rPr>
        <w:t xml:space="preserve">月 </w:t>
      </w:r>
      <w:r>
        <w:rPr>
          <w:rFonts w:ascii="仿宋" w:hAnsi="仿宋" w:eastAsia="仿宋"/>
          <w:sz w:val="24"/>
          <w:szCs w:val="24"/>
          <w:highlight w:val="none"/>
        </w:rPr>
        <w:t xml:space="preserve"> </w:t>
      </w:r>
      <w:r>
        <w:rPr>
          <w:rFonts w:hint="eastAsia" w:ascii="仿宋" w:hAnsi="仿宋" w:eastAsia="仿宋"/>
          <w:sz w:val="24"/>
          <w:szCs w:val="24"/>
          <w:highlight w:val="none"/>
        </w:rPr>
        <w:t>日</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6</w:t>
      </w:r>
      <w:r>
        <w:rPr>
          <w:rFonts w:ascii="仿宋" w:hAnsi="仿宋" w:eastAsia="仿宋"/>
          <w:sz w:val="24"/>
          <w:szCs w:val="24"/>
          <w:highlight w:val="none"/>
        </w:rPr>
        <w:t>.管理人登记编码</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7</w:t>
      </w:r>
      <w:r>
        <w:rPr>
          <w:rFonts w:hint="eastAsia" w:ascii="仿宋" w:hAnsi="仿宋" w:eastAsia="仿宋"/>
          <w:sz w:val="24"/>
          <w:szCs w:val="24"/>
          <w:highlight w:val="none"/>
        </w:rPr>
        <w:t>.管理人最近三年诚信情况说明：本管理人最近三年未受到监管部门处罚或行业协会纪律处分，未被纳入失信黑名单。本管理人高管人员最近三年未受到监管部门行政处罚或行业协会纪律处分，不存在市场失信行为。</w:t>
      </w:r>
    </w:p>
    <w:p>
      <w:pPr>
        <w:spacing w:line="360" w:lineRule="auto"/>
        <w:ind w:firstLine="480" w:firstLineChars="200"/>
        <w:rPr>
          <w:rFonts w:ascii="仿宋" w:hAnsi="仿宋" w:eastAsia="仿宋"/>
          <w:sz w:val="24"/>
          <w:szCs w:val="24"/>
          <w:highlight w:val="none"/>
        </w:rPr>
      </w:pPr>
      <w:bookmarkStart w:id="6" w:name="_Toc487030478"/>
      <w:r>
        <w:rPr>
          <w:rFonts w:hint="eastAsia" w:ascii="仿宋" w:hAnsi="仿宋" w:eastAsia="仿宋"/>
          <w:sz w:val="24"/>
          <w:szCs w:val="24"/>
          <w:highlight w:val="none"/>
        </w:rPr>
        <w:t>8</w:t>
      </w:r>
      <w:r>
        <w:rPr>
          <w:rFonts w:ascii="仿宋" w:hAnsi="仿宋" w:eastAsia="仿宋"/>
          <w:sz w:val="24"/>
          <w:szCs w:val="24"/>
          <w:highlight w:val="none"/>
        </w:rPr>
        <w:t>.</w:t>
      </w:r>
      <w:r>
        <w:rPr>
          <w:rFonts w:hint="eastAsia" w:ascii="仿宋" w:hAnsi="仿宋" w:eastAsia="仿宋"/>
          <w:sz w:val="24"/>
          <w:szCs w:val="24"/>
          <w:highlight w:val="none"/>
        </w:rPr>
        <w:t>基金业协会关于基金管理人以及私募基金公示信息</w:t>
      </w:r>
      <w:bookmarkEnd w:id="6"/>
      <w:r>
        <w:rPr>
          <w:rFonts w:hint="eastAsia" w:ascii="仿宋" w:hAnsi="仿宋" w:eastAsia="仿宋"/>
          <w:sz w:val="24"/>
          <w:szCs w:val="24"/>
          <w:highlight w:val="none"/>
        </w:rPr>
        <w:t>(协会截图</w:t>
      </w:r>
      <w:r>
        <w:rPr>
          <w:rFonts w:ascii="仿宋" w:hAnsi="仿宋" w:eastAsia="仿宋"/>
          <w:sz w:val="24"/>
          <w:szCs w:val="24"/>
          <w:highlight w:val="none"/>
        </w:rPr>
        <w:t>)</w:t>
      </w:r>
      <w:bookmarkStart w:id="7" w:name="_Toc487030479"/>
    </w:p>
    <w:bookmarkEnd w:id="7"/>
    <w:p>
      <w:pPr>
        <w:spacing w:before="120" w:after="120" w:line="360" w:lineRule="auto"/>
        <w:jc w:val="left"/>
        <w:outlineLvl w:val="0"/>
        <w:rPr>
          <w:rFonts w:ascii="仿宋" w:hAnsi="仿宋" w:eastAsia="仿宋"/>
          <w:b/>
          <w:bCs/>
          <w:kern w:val="44"/>
          <w:sz w:val="24"/>
          <w:szCs w:val="44"/>
          <w:highlight w:val="none"/>
        </w:rPr>
      </w:pPr>
      <w:bookmarkStart w:id="8" w:name="_Toc487030480"/>
      <w:bookmarkStart w:id="9" w:name="_Toc16250014"/>
      <w:r>
        <w:rPr>
          <w:rFonts w:hint="eastAsia" w:ascii="仿宋" w:hAnsi="仿宋" w:eastAsia="仿宋"/>
          <w:b/>
          <w:bCs/>
          <w:kern w:val="44"/>
          <w:sz w:val="24"/>
          <w:szCs w:val="44"/>
          <w:highlight w:val="none"/>
        </w:rPr>
        <w:t>三、基金的外包情况</w:t>
      </w:r>
      <w:bookmarkEnd w:id="8"/>
      <w:r>
        <w:rPr>
          <w:rFonts w:hint="eastAsia" w:ascii="仿宋" w:hAnsi="仿宋" w:eastAsia="仿宋"/>
          <w:b/>
          <w:bCs/>
          <w:kern w:val="44"/>
          <w:sz w:val="24"/>
          <w:szCs w:val="44"/>
          <w:highlight w:val="none"/>
        </w:rPr>
        <w:t>(如有</w:t>
      </w:r>
      <w:r>
        <w:rPr>
          <w:rFonts w:ascii="仿宋" w:hAnsi="仿宋" w:eastAsia="仿宋"/>
          <w:b/>
          <w:bCs/>
          <w:kern w:val="44"/>
          <w:sz w:val="24"/>
          <w:szCs w:val="44"/>
          <w:highlight w:val="none"/>
        </w:rPr>
        <w:t>)</w:t>
      </w:r>
      <w:bookmarkEnd w:id="9"/>
    </w:p>
    <w:p>
      <w:pPr>
        <w:spacing w:line="360" w:lineRule="auto"/>
        <w:ind w:firstLine="720" w:firstLineChars="300"/>
        <w:rPr>
          <w:rFonts w:ascii="仿宋" w:hAnsi="仿宋" w:eastAsia="仿宋"/>
          <w:sz w:val="24"/>
          <w:szCs w:val="24"/>
          <w:highlight w:val="none"/>
          <w:u w:val="single"/>
        </w:rPr>
      </w:pPr>
      <w:r>
        <w:rPr>
          <w:rFonts w:ascii="仿宋" w:hAnsi="仿宋" w:eastAsia="仿宋"/>
          <w:sz w:val="24"/>
          <w:szCs w:val="24"/>
          <w:highlight w:val="none"/>
        </w:rPr>
        <w:t>行政</w:t>
      </w:r>
      <w:r>
        <w:rPr>
          <w:rFonts w:hint="eastAsia" w:ascii="仿宋" w:hAnsi="仿宋" w:eastAsia="仿宋"/>
          <w:sz w:val="24"/>
          <w:szCs w:val="24"/>
          <w:highlight w:val="none"/>
        </w:rPr>
        <w:t>服务机构名称：</w:t>
      </w:r>
    </w:p>
    <w:p>
      <w:pPr>
        <w:spacing w:line="360" w:lineRule="auto"/>
        <w:ind w:firstLine="720" w:firstLineChars="300"/>
        <w:rPr>
          <w:rFonts w:ascii="仿宋" w:hAnsi="仿宋" w:eastAsia="仿宋"/>
          <w:sz w:val="24"/>
          <w:szCs w:val="24"/>
          <w:highlight w:val="none"/>
        </w:rPr>
      </w:pPr>
      <w:r>
        <w:rPr>
          <w:rFonts w:hint="eastAsia" w:ascii="仿宋" w:hAnsi="仿宋" w:eastAsia="仿宋"/>
          <w:sz w:val="24"/>
          <w:szCs w:val="24"/>
          <w:highlight w:val="none"/>
        </w:rPr>
        <w:t>统一社会信用代码：</w:t>
      </w:r>
    </w:p>
    <w:p>
      <w:pPr>
        <w:spacing w:line="360" w:lineRule="auto"/>
        <w:ind w:firstLine="720" w:firstLineChars="300"/>
        <w:rPr>
          <w:rFonts w:ascii="仿宋" w:hAnsi="仿宋" w:eastAsia="仿宋"/>
          <w:sz w:val="24"/>
          <w:szCs w:val="24"/>
          <w:highlight w:val="none"/>
        </w:rPr>
      </w:pPr>
      <w:r>
        <w:rPr>
          <w:rFonts w:hint="eastAsia" w:ascii="仿宋" w:hAnsi="仿宋" w:eastAsia="仿宋"/>
          <w:sz w:val="24"/>
          <w:szCs w:val="24"/>
          <w:highlight w:val="none"/>
        </w:rPr>
        <w:t>协会备案编号：</w:t>
      </w:r>
    </w:p>
    <w:p>
      <w:pPr>
        <w:spacing w:before="120" w:after="120" w:line="360" w:lineRule="auto"/>
        <w:jc w:val="left"/>
        <w:outlineLvl w:val="0"/>
        <w:rPr>
          <w:rFonts w:ascii="仿宋" w:hAnsi="仿宋" w:eastAsia="仿宋"/>
          <w:b/>
          <w:bCs/>
          <w:kern w:val="44"/>
          <w:sz w:val="24"/>
          <w:szCs w:val="44"/>
          <w:highlight w:val="none"/>
        </w:rPr>
      </w:pPr>
      <w:bookmarkStart w:id="10" w:name="_Toc16250015"/>
      <w:r>
        <w:rPr>
          <w:rFonts w:ascii="仿宋" w:hAnsi="仿宋" w:eastAsia="仿宋"/>
          <w:b/>
          <w:bCs/>
          <w:kern w:val="44"/>
          <w:sz w:val="24"/>
          <w:szCs w:val="44"/>
          <w:highlight w:val="none"/>
        </w:rPr>
        <w:t>四</w:t>
      </w:r>
      <w:r>
        <w:rPr>
          <w:rFonts w:hint="eastAsia" w:ascii="仿宋" w:hAnsi="仿宋" w:eastAsia="仿宋"/>
          <w:b/>
          <w:bCs/>
          <w:kern w:val="44"/>
          <w:sz w:val="24"/>
          <w:szCs w:val="44"/>
          <w:highlight w:val="none"/>
        </w:rPr>
        <w:t>、</w:t>
      </w:r>
      <w:r>
        <w:rPr>
          <w:rFonts w:ascii="仿宋" w:hAnsi="仿宋" w:eastAsia="仿宋"/>
          <w:b/>
          <w:bCs/>
          <w:kern w:val="44"/>
          <w:sz w:val="24"/>
          <w:szCs w:val="44"/>
          <w:highlight w:val="none"/>
        </w:rPr>
        <w:t>基金的募集期限</w:t>
      </w:r>
      <w:bookmarkEnd w:id="10"/>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.基金初始募集期限</w:t>
      </w:r>
      <w:r>
        <w:rPr>
          <w:rFonts w:hint="eastAsia" w:ascii="仿宋" w:hAnsi="仿宋" w:eastAsia="仿宋"/>
          <w:sz w:val="24"/>
          <w:szCs w:val="24"/>
          <w:highlight w:val="none"/>
        </w:rPr>
        <w:t>：自本基金份额发售之日起不超过【</w:t>
      </w:r>
      <w:r>
        <w:rPr>
          <w:rFonts w:ascii="仿宋" w:hAnsi="仿宋" w:eastAsia="仿宋"/>
          <w:sz w:val="24"/>
          <w:szCs w:val="24"/>
          <w:highlight w:val="none"/>
        </w:rPr>
        <w:t>60</w:t>
      </w:r>
      <w:r>
        <w:rPr>
          <w:rFonts w:hint="eastAsia" w:ascii="仿宋" w:hAnsi="仿宋" w:eastAsia="仿宋"/>
          <w:sz w:val="24"/>
          <w:szCs w:val="24"/>
          <w:highlight w:val="none"/>
        </w:rPr>
        <w:t>】</w:t>
      </w:r>
      <w:r>
        <w:rPr>
          <w:rFonts w:ascii="仿宋" w:hAnsi="仿宋" w:eastAsia="仿宋"/>
          <w:sz w:val="24"/>
          <w:szCs w:val="24"/>
          <w:highlight w:val="none"/>
        </w:rPr>
        <w:t>天</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2.基金后续募集</w:t>
      </w:r>
      <w:r>
        <w:rPr>
          <w:rFonts w:hint="eastAsia" w:ascii="仿宋" w:hAnsi="仿宋" w:eastAsia="仿宋"/>
          <w:sz w:val="24"/>
          <w:szCs w:val="24"/>
          <w:highlight w:val="none"/>
        </w:rPr>
        <w:t>(临时开放申购</w:t>
      </w:r>
      <w:r>
        <w:rPr>
          <w:rFonts w:ascii="仿宋" w:hAnsi="仿宋" w:eastAsia="仿宋"/>
          <w:sz w:val="24"/>
          <w:szCs w:val="24"/>
          <w:highlight w:val="none"/>
        </w:rPr>
        <w:t>)安排(如有)</w:t>
      </w:r>
      <w:r>
        <w:rPr>
          <w:rFonts w:hint="eastAsia" w:ascii="仿宋" w:hAnsi="仿宋" w:eastAsia="仿宋"/>
          <w:sz w:val="24"/>
          <w:szCs w:val="24"/>
          <w:highlight w:val="none"/>
        </w:rPr>
        <w:t>：</w:t>
      </w:r>
    </w:p>
    <w:p>
      <w:pPr>
        <w:spacing w:before="120" w:after="120" w:line="360" w:lineRule="auto"/>
        <w:jc w:val="left"/>
        <w:outlineLvl w:val="0"/>
        <w:rPr>
          <w:rFonts w:ascii="仿宋" w:hAnsi="仿宋" w:eastAsia="仿宋"/>
          <w:b/>
          <w:bCs/>
          <w:kern w:val="44"/>
          <w:sz w:val="24"/>
          <w:szCs w:val="44"/>
          <w:highlight w:val="none"/>
        </w:rPr>
      </w:pPr>
      <w:bookmarkStart w:id="11" w:name="_Toc487030481"/>
      <w:bookmarkStart w:id="12" w:name="_Toc16250016"/>
      <w:r>
        <w:rPr>
          <w:rFonts w:hint="eastAsia" w:ascii="仿宋" w:hAnsi="仿宋" w:eastAsia="仿宋"/>
          <w:b/>
          <w:bCs/>
          <w:kern w:val="44"/>
          <w:sz w:val="24"/>
          <w:szCs w:val="44"/>
          <w:highlight w:val="none"/>
        </w:rPr>
        <w:t>五、基金的投资</w:t>
      </w:r>
      <w:bookmarkEnd w:id="11"/>
      <w:r>
        <w:rPr>
          <w:rFonts w:hint="eastAsia" w:ascii="仿宋" w:hAnsi="仿宋" w:eastAsia="仿宋"/>
          <w:b/>
          <w:bCs/>
          <w:kern w:val="44"/>
          <w:sz w:val="24"/>
          <w:szCs w:val="44"/>
          <w:highlight w:val="none"/>
        </w:rPr>
        <w:t>信息</w:t>
      </w:r>
      <w:bookmarkEnd w:id="12"/>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1.投资目标：</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投资策略：</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3.投资范围</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投资限制：</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5</w:t>
      </w:r>
      <w:r>
        <w:rPr>
          <w:rFonts w:ascii="仿宋" w:hAnsi="仿宋" w:eastAsia="仿宋"/>
          <w:sz w:val="24"/>
          <w:szCs w:val="24"/>
          <w:highlight w:val="none"/>
        </w:rPr>
        <w:t>.投资禁止</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6.业绩比较基金准</w:t>
      </w:r>
      <w:r>
        <w:rPr>
          <w:rFonts w:hint="eastAsia" w:ascii="仿宋" w:hAnsi="仿宋" w:eastAsia="仿宋"/>
          <w:sz w:val="24"/>
          <w:szCs w:val="24"/>
          <w:highlight w:val="none"/>
        </w:rPr>
        <w:t>(如有</w:t>
      </w:r>
      <w:r>
        <w:rPr>
          <w:rFonts w:ascii="仿宋" w:hAnsi="仿宋" w:eastAsia="仿宋"/>
          <w:sz w:val="24"/>
          <w:szCs w:val="24"/>
          <w:highlight w:val="none"/>
        </w:rPr>
        <w:t>)</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7.风险收益特征</w:t>
      </w:r>
      <w:r>
        <w:rPr>
          <w:rFonts w:hint="eastAsia" w:ascii="仿宋" w:hAnsi="仿宋" w:eastAsia="仿宋"/>
          <w:sz w:val="24"/>
          <w:szCs w:val="24"/>
          <w:highlight w:val="none"/>
        </w:rPr>
        <w:t>：本基金风险评级为【高风险(</w:t>
      </w:r>
      <w:r>
        <w:rPr>
          <w:rFonts w:ascii="仿宋" w:hAnsi="仿宋" w:eastAsia="仿宋"/>
          <w:sz w:val="24"/>
          <w:szCs w:val="24"/>
          <w:highlight w:val="none"/>
        </w:rPr>
        <w:t>R5)】，适合风险承受能力等级为</w:t>
      </w:r>
      <w:r>
        <w:rPr>
          <w:rFonts w:hint="eastAsia" w:ascii="仿宋" w:hAnsi="仿宋" w:eastAsia="仿宋"/>
          <w:sz w:val="24"/>
          <w:szCs w:val="24"/>
          <w:highlight w:val="none"/>
        </w:rPr>
        <w:t>【</w:t>
      </w:r>
      <w:r>
        <w:rPr>
          <w:rFonts w:ascii="仿宋" w:hAnsi="仿宋" w:eastAsia="仿宋"/>
          <w:sz w:val="24"/>
          <w:szCs w:val="24"/>
          <w:highlight w:val="none"/>
        </w:rPr>
        <w:t>进取型</w:t>
      </w:r>
      <w:r>
        <w:rPr>
          <w:rFonts w:hint="eastAsia" w:ascii="仿宋" w:hAnsi="仿宋" w:eastAsia="仿宋"/>
          <w:sz w:val="24"/>
          <w:szCs w:val="24"/>
          <w:highlight w:val="none"/>
        </w:rPr>
        <w:t>(</w:t>
      </w:r>
      <w:r>
        <w:rPr>
          <w:rFonts w:ascii="仿宋" w:hAnsi="仿宋" w:eastAsia="仿宋"/>
          <w:sz w:val="24"/>
          <w:szCs w:val="24"/>
          <w:highlight w:val="none"/>
        </w:rPr>
        <w:t>C5)</w:t>
      </w:r>
      <w:r>
        <w:rPr>
          <w:rFonts w:hint="eastAsia" w:ascii="仿宋" w:hAnsi="仿宋" w:eastAsia="仿宋"/>
          <w:sz w:val="24"/>
          <w:szCs w:val="24"/>
          <w:highlight w:val="none"/>
        </w:rPr>
        <w:t>】</w:t>
      </w:r>
      <w:r>
        <w:rPr>
          <w:rFonts w:ascii="仿宋" w:hAnsi="仿宋" w:eastAsia="仿宋"/>
          <w:sz w:val="24"/>
          <w:szCs w:val="24"/>
          <w:highlight w:val="none"/>
        </w:rPr>
        <w:t>的普通投资者和专业投资者。</w:t>
      </w:r>
    </w:p>
    <w:p>
      <w:pPr>
        <w:spacing w:before="120" w:after="120" w:line="360" w:lineRule="auto"/>
        <w:jc w:val="left"/>
        <w:outlineLvl w:val="0"/>
        <w:rPr>
          <w:rFonts w:ascii="仿宋" w:hAnsi="仿宋" w:eastAsia="仿宋"/>
          <w:b/>
          <w:bCs/>
          <w:kern w:val="44"/>
          <w:sz w:val="24"/>
          <w:szCs w:val="44"/>
          <w:highlight w:val="none"/>
        </w:rPr>
      </w:pPr>
      <w:bookmarkStart w:id="13" w:name="_Toc16250017"/>
      <w:bookmarkStart w:id="14" w:name="_Toc487030483"/>
      <w:r>
        <w:rPr>
          <w:rFonts w:hint="eastAsia" w:ascii="仿宋" w:hAnsi="仿宋" w:eastAsia="仿宋"/>
          <w:b/>
          <w:bCs/>
          <w:kern w:val="44"/>
          <w:sz w:val="24"/>
          <w:szCs w:val="44"/>
          <w:highlight w:val="none"/>
        </w:rPr>
        <w:t>六、基金的风险揭示</w:t>
      </w:r>
      <w:bookmarkEnd w:id="13"/>
      <w:bookmarkEnd w:id="14"/>
    </w:p>
    <w:p>
      <w:pPr>
        <w:spacing w:line="360" w:lineRule="auto"/>
        <w:rPr>
          <w:rFonts w:ascii="仿宋" w:hAnsi="仿宋" w:eastAsia="仿宋"/>
          <w:highlight w:val="none"/>
        </w:rPr>
      </w:pPr>
      <w:r>
        <w:rPr>
          <w:rFonts w:hint="eastAsia" w:ascii="仿宋" w:hAnsi="仿宋" w:eastAsia="仿宋"/>
          <w:highlight w:val="none"/>
        </w:rPr>
        <w:t xml:space="preserve"> </w:t>
      </w:r>
      <w:r>
        <w:rPr>
          <w:rFonts w:ascii="仿宋" w:hAnsi="仿宋" w:eastAsia="仿宋"/>
          <w:highlight w:val="none"/>
        </w:rPr>
        <w:t xml:space="preserve">  </w:t>
      </w:r>
      <w:r>
        <w:rPr>
          <w:rFonts w:ascii="仿宋" w:hAnsi="仿宋" w:eastAsia="仿宋"/>
          <w:sz w:val="24"/>
          <w:szCs w:val="24"/>
          <w:highlight w:val="none"/>
        </w:rPr>
        <w:t xml:space="preserve">  [按照</w:t>
      </w:r>
      <w:r>
        <w:rPr>
          <w:rFonts w:hint="eastAsia" w:ascii="仿宋" w:hAnsi="仿宋" w:eastAsia="仿宋"/>
          <w:sz w:val="24"/>
          <w:szCs w:val="24"/>
          <w:highlight w:val="none"/>
        </w:rPr>
        <w:t>《</w:t>
      </w:r>
      <w:r>
        <w:rPr>
          <w:rFonts w:ascii="仿宋" w:hAnsi="仿宋" w:eastAsia="仿宋"/>
          <w:sz w:val="24"/>
          <w:szCs w:val="24"/>
          <w:highlight w:val="none"/>
        </w:rPr>
        <w:t>风险揭示书</w:t>
      </w:r>
      <w:r>
        <w:rPr>
          <w:rFonts w:hint="eastAsia" w:ascii="仿宋" w:hAnsi="仿宋" w:eastAsia="仿宋"/>
          <w:sz w:val="24"/>
          <w:szCs w:val="24"/>
          <w:highlight w:val="none"/>
        </w:rPr>
        <w:t>》</w:t>
      </w:r>
      <w:r>
        <w:rPr>
          <w:rFonts w:ascii="仿宋" w:hAnsi="仿宋" w:eastAsia="仿宋"/>
          <w:sz w:val="24"/>
          <w:szCs w:val="24"/>
          <w:highlight w:val="none"/>
        </w:rPr>
        <w:t>填写]</w:t>
      </w:r>
    </w:p>
    <w:p>
      <w:pPr>
        <w:spacing w:before="120" w:after="120" w:line="360" w:lineRule="auto"/>
        <w:jc w:val="left"/>
        <w:outlineLvl w:val="0"/>
        <w:rPr>
          <w:rFonts w:ascii="仿宋" w:hAnsi="仿宋" w:eastAsia="仿宋"/>
          <w:b/>
          <w:bCs/>
          <w:kern w:val="44"/>
          <w:sz w:val="24"/>
          <w:szCs w:val="44"/>
          <w:highlight w:val="none"/>
        </w:rPr>
      </w:pPr>
      <w:bookmarkStart w:id="15" w:name="_Toc487030484"/>
      <w:bookmarkStart w:id="16" w:name="_Toc16250018"/>
      <w:r>
        <w:rPr>
          <w:rFonts w:hint="eastAsia" w:ascii="仿宋" w:hAnsi="仿宋" w:eastAsia="仿宋"/>
          <w:b/>
          <w:bCs/>
          <w:kern w:val="44"/>
          <w:sz w:val="24"/>
          <w:szCs w:val="44"/>
          <w:highlight w:val="none"/>
        </w:rPr>
        <w:t>七、基金募集结算资金专用账户及其监督机构信息</w:t>
      </w:r>
      <w:bookmarkEnd w:id="15"/>
      <w:bookmarkEnd w:id="16"/>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本基金开立如下</w:t>
      </w:r>
      <w:bookmarkStart w:id="17" w:name="_Hlk482089584"/>
      <w:r>
        <w:rPr>
          <w:rFonts w:hint="eastAsia" w:ascii="仿宋" w:hAnsi="仿宋" w:eastAsia="仿宋"/>
          <w:sz w:val="24"/>
          <w:szCs w:val="24"/>
          <w:highlight w:val="none"/>
        </w:rPr>
        <w:t>募集结算资金专用账户</w:t>
      </w:r>
      <w:bookmarkEnd w:id="17"/>
      <w:r>
        <w:rPr>
          <w:rFonts w:hint="eastAsia" w:ascii="仿宋" w:hAnsi="仿宋" w:eastAsia="仿宋"/>
          <w:sz w:val="24"/>
          <w:szCs w:val="24"/>
          <w:highlight w:val="none"/>
        </w:rPr>
        <w:t>，用于统一归集基金募集结算资金、向投资者分配收益以及分配基金清算后的剩余基金财产等，确保资金原路返还。</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.募集结算资金专用账户</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户名：</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账号：</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开户行:</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.监督机构信息</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名称：</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地址：</w:t>
      </w:r>
    </w:p>
    <w:p>
      <w:pPr>
        <w:spacing w:before="120" w:after="120" w:line="360" w:lineRule="auto"/>
        <w:jc w:val="left"/>
        <w:outlineLvl w:val="0"/>
        <w:rPr>
          <w:rFonts w:ascii="仿宋" w:hAnsi="仿宋" w:eastAsia="仿宋"/>
          <w:b/>
          <w:bCs/>
          <w:kern w:val="44"/>
          <w:sz w:val="24"/>
          <w:szCs w:val="44"/>
          <w:highlight w:val="none"/>
        </w:rPr>
      </w:pPr>
      <w:bookmarkStart w:id="18" w:name="_Toc16250019"/>
      <w:r>
        <w:rPr>
          <w:rFonts w:ascii="仿宋" w:hAnsi="仿宋" w:eastAsia="仿宋"/>
          <w:b/>
          <w:bCs/>
          <w:kern w:val="44"/>
          <w:sz w:val="24"/>
          <w:szCs w:val="44"/>
          <w:highlight w:val="none"/>
        </w:rPr>
        <w:t>八</w:t>
      </w:r>
      <w:r>
        <w:rPr>
          <w:rFonts w:hint="eastAsia" w:ascii="仿宋" w:hAnsi="仿宋" w:eastAsia="仿宋"/>
          <w:b/>
          <w:bCs/>
          <w:kern w:val="44"/>
          <w:sz w:val="24"/>
          <w:szCs w:val="44"/>
          <w:highlight w:val="none"/>
        </w:rPr>
        <w:t>、基金认购及出资方式安排</w:t>
      </w:r>
      <w:bookmarkEnd w:id="18"/>
    </w:p>
    <w:p>
      <w:pPr>
        <w:spacing w:line="360" w:lineRule="auto"/>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[按照基金合同填写</w:t>
      </w:r>
      <w:r>
        <w:rPr>
          <w:rFonts w:ascii="仿宋" w:hAnsi="仿宋" w:eastAsia="仿宋"/>
          <w:sz w:val="24"/>
          <w:szCs w:val="24"/>
          <w:highlight w:val="none"/>
        </w:rPr>
        <w:t>]</w:t>
      </w:r>
    </w:p>
    <w:p>
      <w:pPr>
        <w:spacing w:before="120" w:after="120" w:line="360" w:lineRule="auto"/>
        <w:jc w:val="left"/>
        <w:outlineLvl w:val="0"/>
        <w:rPr>
          <w:rFonts w:ascii="仿宋" w:hAnsi="仿宋" w:eastAsia="仿宋"/>
          <w:b/>
          <w:bCs/>
          <w:kern w:val="44"/>
          <w:sz w:val="24"/>
          <w:szCs w:val="44"/>
          <w:highlight w:val="none"/>
        </w:rPr>
      </w:pPr>
      <w:bookmarkStart w:id="19" w:name="_Toc16250020"/>
      <w:r>
        <w:rPr>
          <w:rFonts w:hint="eastAsia" w:ascii="仿宋" w:hAnsi="仿宋" w:eastAsia="仿宋"/>
          <w:b/>
          <w:bCs/>
          <w:kern w:val="44"/>
          <w:sz w:val="24"/>
          <w:szCs w:val="44"/>
          <w:highlight w:val="none"/>
        </w:rPr>
        <w:t>九、基金申购、赎回、转让安排</w:t>
      </w:r>
      <w:bookmarkEnd w:id="19"/>
    </w:p>
    <w:p>
      <w:pPr>
        <w:spacing w:line="360" w:lineRule="auto"/>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[按照基金合同填写</w:t>
      </w:r>
      <w:r>
        <w:rPr>
          <w:rFonts w:ascii="仿宋" w:hAnsi="仿宋" w:eastAsia="仿宋"/>
          <w:sz w:val="24"/>
          <w:szCs w:val="24"/>
          <w:highlight w:val="none"/>
        </w:rPr>
        <w:t>]</w:t>
      </w:r>
    </w:p>
    <w:p>
      <w:pPr>
        <w:spacing w:before="120" w:after="120" w:line="360" w:lineRule="auto"/>
        <w:jc w:val="left"/>
        <w:outlineLvl w:val="0"/>
        <w:rPr>
          <w:rFonts w:ascii="仿宋" w:hAnsi="仿宋" w:eastAsia="仿宋"/>
          <w:b/>
          <w:bCs/>
          <w:kern w:val="44"/>
          <w:sz w:val="24"/>
          <w:szCs w:val="44"/>
          <w:highlight w:val="none"/>
        </w:rPr>
      </w:pPr>
      <w:bookmarkStart w:id="20" w:name="_Toc16250021"/>
      <w:bookmarkStart w:id="21" w:name="_Toc487030485"/>
      <w:r>
        <w:rPr>
          <w:rFonts w:hint="eastAsia" w:ascii="仿宋" w:hAnsi="仿宋" w:eastAsia="仿宋"/>
          <w:b/>
          <w:bCs/>
          <w:kern w:val="44"/>
          <w:sz w:val="24"/>
          <w:szCs w:val="44"/>
          <w:highlight w:val="none"/>
        </w:rPr>
        <w:t>十、基金投资者承担的主要费用及费率</w:t>
      </w:r>
      <w:bookmarkEnd w:id="20"/>
      <w:bookmarkEnd w:id="21"/>
      <w:r>
        <w:rPr>
          <w:rFonts w:ascii="仿宋" w:hAnsi="仿宋" w:eastAsia="仿宋"/>
          <w:b/>
          <w:bCs/>
          <w:kern w:val="44"/>
          <w:sz w:val="24"/>
          <w:szCs w:val="44"/>
          <w:highlight w:val="none"/>
        </w:rPr>
        <w:t xml:space="preserve"> </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.认购费率：【 】%</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2.申购费率：【 】%</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3.赎回费率：【 】%</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.基金收益分配和清算分配分配所得税等</w:t>
      </w:r>
    </w:p>
    <w:p>
      <w:pPr>
        <w:spacing w:before="120" w:after="120" w:line="360" w:lineRule="auto"/>
        <w:jc w:val="left"/>
        <w:outlineLvl w:val="0"/>
        <w:rPr>
          <w:rFonts w:ascii="仿宋" w:hAnsi="仿宋" w:eastAsia="仿宋"/>
          <w:b/>
          <w:bCs/>
          <w:kern w:val="44"/>
          <w:sz w:val="24"/>
          <w:szCs w:val="44"/>
          <w:highlight w:val="none"/>
        </w:rPr>
      </w:pPr>
      <w:bookmarkStart w:id="22" w:name="_Toc16250022"/>
      <w:r>
        <w:rPr>
          <w:rFonts w:ascii="仿宋" w:hAnsi="仿宋" w:eastAsia="仿宋"/>
          <w:b/>
          <w:bCs/>
          <w:kern w:val="44"/>
          <w:sz w:val="24"/>
          <w:szCs w:val="44"/>
          <w:highlight w:val="none"/>
        </w:rPr>
        <w:t>十一</w:t>
      </w:r>
      <w:r>
        <w:rPr>
          <w:rFonts w:hint="eastAsia" w:ascii="仿宋" w:hAnsi="仿宋" w:eastAsia="仿宋"/>
          <w:b/>
          <w:bCs/>
          <w:kern w:val="44"/>
          <w:sz w:val="24"/>
          <w:szCs w:val="44"/>
          <w:highlight w:val="none"/>
        </w:rPr>
        <w:t>、</w:t>
      </w:r>
      <w:r>
        <w:rPr>
          <w:rFonts w:ascii="仿宋" w:hAnsi="仿宋" w:eastAsia="仿宋"/>
          <w:b/>
          <w:bCs/>
          <w:kern w:val="44"/>
          <w:sz w:val="24"/>
          <w:szCs w:val="44"/>
          <w:highlight w:val="none"/>
        </w:rPr>
        <w:t>基金承担的主要费用及费率</w:t>
      </w:r>
      <w:bookmarkEnd w:id="22"/>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w:t>
      </w:r>
      <w:r>
        <w:rPr>
          <w:rFonts w:ascii="仿宋" w:hAnsi="仿宋" w:eastAsia="仿宋"/>
          <w:sz w:val="24"/>
          <w:szCs w:val="24"/>
          <w:highlight w:val="none"/>
        </w:rPr>
        <w:t>管理费：</w:t>
      </w:r>
      <w:r>
        <w:rPr>
          <w:rFonts w:hint="eastAsia" w:ascii="仿宋" w:hAnsi="仿宋" w:eastAsia="仿宋"/>
          <w:sz w:val="24"/>
          <w:szCs w:val="24"/>
          <w:highlight w:val="none"/>
        </w:rPr>
        <w:t>【 】%</w:t>
      </w:r>
      <w:r>
        <w:rPr>
          <w:rFonts w:ascii="仿宋" w:hAnsi="仿宋" w:eastAsia="仿宋"/>
          <w:sz w:val="24"/>
          <w:szCs w:val="24"/>
          <w:highlight w:val="none"/>
        </w:rPr>
        <w:t>/</w:t>
      </w:r>
      <w:r>
        <w:rPr>
          <w:rFonts w:hint="eastAsia" w:ascii="仿宋" w:hAnsi="仿宋" w:eastAsia="仿宋"/>
          <w:sz w:val="24"/>
          <w:szCs w:val="24"/>
          <w:highlight w:val="none"/>
        </w:rPr>
        <w:t>年</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托管费：</w:t>
      </w:r>
      <w:r>
        <w:rPr>
          <w:rFonts w:hint="eastAsia" w:ascii="仿宋" w:hAnsi="仿宋" w:eastAsia="仿宋"/>
          <w:sz w:val="24"/>
          <w:szCs w:val="24"/>
          <w:highlight w:val="none"/>
        </w:rPr>
        <w:t>【 】%</w:t>
      </w:r>
      <w:r>
        <w:rPr>
          <w:rFonts w:ascii="仿宋" w:hAnsi="仿宋" w:eastAsia="仿宋"/>
          <w:sz w:val="24"/>
          <w:szCs w:val="24"/>
          <w:highlight w:val="none"/>
        </w:rPr>
        <w:t>/</w:t>
      </w:r>
      <w:r>
        <w:rPr>
          <w:rFonts w:hint="eastAsia" w:ascii="仿宋" w:hAnsi="仿宋" w:eastAsia="仿宋"/>
          <w:sz w:val="24"/>
          <w:szCs w:val="24"/>
          <w:highlight w:val="none"/>
        </w:rPr>
        <w:t>年</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.账户监督费</w:t>
      </w:r>
      <w:r>
        <w:rPr>
          <w:rFonts w:ascii="仿宋" w:hAnsi="仿宋" w:eastAsia="仿宋"/>
          <w:sz w:val="24"/>
          <w:szCs w:val="24"/>
          <w:highlight w:val="none"/>
        </w:rPr>
        <w:t>：</w:t>
      </w:r>
      <w:r>
        <w:rPr>
          <w:rFonts w:hint="eastAsia" w:ascii="仿宋" w:hAnsi="仿宋" w:eastAsia="仿宋"/>
          <w:sz w:val="24"/>
          <w:szCs w:val="24"/>
          <w:highlight w:val="none"/>
        </w:rPr>
        <w:t>【 】%</w:t>
      </w:r>
      <w:r>
        <w:rPr>
          <w:rFonts w:ascii="仿宋" w:hAnsi="仿宋" w:eastAsia="仿宋"/>
          <w:sz w:val="24"/>
          <w:szCs w:val="24"/>
          <w:highlight w:val="none"/>
        </w:rPr>
        <w:t>/</w:t>
      </w:r>
      <w:r>
        <w:rPr>
          <w:rFonts w:hint="eastAsia" w:ascii="仿宋" w:hAnsi="仿宋" w:eastAsia="仿宋"/>
          <w:sz w:val="24"/>
          <w:szCs w:val="24"/>
          <w:highlight w:val="none"/>
        </w:rPr>
        <w:t>年</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w:t>
      </w:r>
      <w:r>
        <w:rPr>
          <w:rFonts w:ascii="仿宋" w:hAnsi="仿宋" w:eastAsia="仿宋"/>
          <w:sz w:val="24"/>
          <w:szCs w:val="24"/>
          <w:highlight w:val="none"/>
        </w:rPr>
        <w:t>管理人的业绩报酬</w:t>
      </w:r>
      <w:r>
        <w:rPr>
          <w:rFonts w:hint="eastAsia" w:ascii="仿宋" w:hAnsi="仿宋" w:eastAsia="仿宋"/>
          <w:sz w:val="24"/>
          <w:szCs w:val="24"/>
          <w:highlight w:val="none"/>
        </w:rPr>
        <w:t>：</w:t>
      </w:r>
      <w:r>
        <w:rPr>
          <w:rFonts w:hint="eastAsia" w:ascii="仿宋" w:hAnsi="仿宋" w:eastAsia="仿宋"/>
          <w:sz w:val="24"/>
          <w:szCs w:val="24"/>
          <w:highlight w:val="none"/>
          <w:u w:val="single"/>
        </w:rPr>
        <w:t xml:space="preserve"> </w:t>
      </w:r>
      <w:r>
        <w:rPr>
          <w:rFonts w:ascii="仿宋" w:hAnsi="仿宋" w:eastAsia="仿宋"/>
          <w:sz w:val="24"/>
          <w:szCs w:val="24"/>
          <w:highlight w:val="none"/>
          <w:u w:val="single"/>
        </w:rPr>
        <w:t>超过基准收益</w:t>
      </w:r>
      <w:r>
        <w:rPr>
          <w:rFonts w:hint="eastAsia" w:ascii="仿宋" w:hAnsi="仿宋" w:eastAsia="仿宋"/>
          <w:sz w:val="24"/>
          <w:szCs w:val="24"/>
          <w:highlight w:val="none"/>
          <w:u w:val="single"/>
        </w:rPr>
        <w:t>【】%</w:t>
      </w:r>
      <w:r>
        <w:rPr>
          <w:rFonts w:ascii="仿宋" w:hAnsi="仿宋" w:eastAsia="仿宋"/>
          <w:sz w:val="24"/>
          <w:szCs w:val="24"/>
          <w:highlight w:val="none"/>
          <w:u w:val="single"/>
        </w:rPr>
        <w:t>的部分</w:t>
      </w:r>
      <w:r>
        <w:rPr>
          <w:rFonts w:hint="eastAsia" w:ascii="仿宋" w:hAnsi="仿宋" w:eastAsia="仿宋"/>
          <w:sz w:val="24"/>
          <w:szCs w:val="24"/>
          <w:highlight w:val="none"/>
          <w:u w:val="single"/>
        </w:rPr>
        <w:t>，</w:t>
      </w:r>
      <w:r>
        <w:rPr>
          <w:rFonts w:ascii="仿宋" w:hAnsi="仿宋" w:eastAsia="仿宋"/>
          <w:sz w:val="24"/>
          <w:szCs w:val="24"/>
          <w:highlight w:val="none"/>
          <w:u w:val="single"/>
        </w:rPr>
        <w:t>提取</w:t>
      </w:r>
      <w:r>
        <w:rPr>
          <w:rFonts w:hint="eastAsia" w:ascii="仿宋" w:hAnsi="仿宋" w:eastAsia="仿宋"/>
          <w:sz w:val="24"/>
          <w:szCs w:val="24"/>
          <w:highlight w:val="none"/>
          <w:u w:val="single"/>
        </w:rPr>
        <w:t>【】%</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5.外包服务费：【 】%</w:t>
      </w:r>
      <w:r>
        <w:rPr>
          <w:rFonts w:ascii="仿宋" w:hAnsi="仿宋" w:eastAsia="仿宋"/>
          <w:sz w:val="24"/>
          <w:szCs w:val="24"/>
          <w:highlight w:val="none"/>
        </w:rPr>
        <w:t>/</w:t>
      </w:r>
      <w:r>
        <w:rPr>
          <w:rFonts w:hint="eastAsia" w:ascii="仿宋" w:hAnsi="仿宋" w:eastAsia="仿宋"/>
          <w:sz w:val="24"/>
          <w:szCs w:val="24"/>
          <w:highlight w:val="none"/>
        </w:rPr>
        <w:t>年</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6.增值税(如有</w:t>
      </w:r>
      <w:r>
        <w:rPr>
          <w:rFonts w:ascii="仿宋" w:hAnsi="仿宋" w:eastAsia="仿宋"/>
          <w:sz w:val="24"/>
          <w:szCs w:val="24"/>
          <w:highlight w:val="none"/>
        </w:rPr>
        <w:t>)</w:t>
      </w:r>
      <w:r>
        <w:rPr>
          <w:rFonts w:hint="eastAsia" w:ascii="仿宋" w:hAnsi="仿宋" w:eastAsia="仿宋"/>
          <w:sz w:val="24"/>
          <w:szCs w:val="24"/>
          <w:highlight w:val="none"/>
        </w:rPr>
        <w:t>：【3】%。</w:t>
      </w:r>
    </w:p>
    <w:p>
      <w:pPr>
        <w:spacing w:before="120" w:after="120" w:line="360" w:lineRule="auto"/>
        <w:jc w:val="left"/>
        <w:outlineLvl w:val="0"/>
        <w:rPr>
          <w:rFonts w:ascii="仿宋" w:hAnsi="仿宋" w:eastAsia="仿宋"/>
          <w:b/>
          <w:bCs/>
          <w:kern w:val="44"/>
          <w:sz w:val="24"/>
          <w:szCs w:val="44"/>
          <w:highlight w:val="none"/>
        </w:rPr>
      </w:pPr>
      <w:bookmarkStart w:id="23" w:name="_Toc16250023"/>
      <w:bookmarkStart w:id="24" w:name="_Toc487030486"/>
      <w:r>
        <w:rPr>
          <w:rFonts w:hint="eastAsia" w:ascii="仿宋" w:hAnsi="仿宋" w:eastAsia="仿宋"/>
          <w:b/>
          <w:bCs/>
          <w:kern w:val="44"/>
          <w:sz w:val="24"/>
          <w:szCs w:val="44"/>
          <w:highlight w:val="none"/>
        </w:rPr>
        <w:t>十二、基金投资者的重要权利</w:t>
      </w:r>
      <w:bookmarkEnd w:id="23"/>
    </w:p>
    <w:p>
      <w:pPr>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[以下是示例，按照基金合同中相应章节填写</w:t>
      </w:r>
      <w:r>
        <w:rPr>
          <w:rFonts w:ascii="仿宋" w:hAnsi="仿宋" w:eastAsia="仿宋"/>
          <w:b/>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w:t>
      </w:r>
      <w:r>
        <w:rPr>
          <w:rFonts w:ascii="仿宋" w:hAnsi="仿宋" w:eastAsia="仿宋"/>
          <w:sz w:val="24"/>
          <w:szCs w:val="24"/>
          <w:highlight w:val="none"/>
        </w:rPr>
        <w:t>取得基金财产收益和清算后的剩余基金财产；</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.根据基金合同的约定，</w:t>
      </w:r>
      <w:r>
        <w:rPr>
          <w:rFonts w:ascii="仿宋" w:hAnsi="仿宋" w:eastAsia="仿宋"/>
          <w:sz w:val="24"/>
          <w:szCs w:val="24"/>
          <w:highlight w:val="none"/>
        </w:rPr>
        <w:t>参加或申请召集基金份额持有人大会</w:t>
      </w:r>
      <w:r>
        <w:rPr>
          <w:rFonts w:hint="eastAsia" w:ascii="仿宋" w:hAnsi="仿宋" w:eastAsia="仿宋"/>
          <w:sz w:val="24"/>
          <w:szCs w:val="24"/>
          <w:highlight w:val="none"/>
        </w:rPr>
        <w:t>/合伙人会议/股东大会</w:t>
      </w:r>
      <w:r>
        <w:rPr>
          <w:rFonts w:ascii="仿宋" w:hAnsi="仿宋" w:eastAsia="仿宋"/>
          <w:sz w:val="24"/>
          <w:szCs w:val="24"/>
          <w:highlight w:val="none"/>
        </w:rPr>
        <w:t>，行使相关</w:t>
      </w:r>
      <w:r>
        <w:rPr>
          <w:rFonts w:hint="eastAsia" w:ascii="仿宋" w:hAnsi="仿宋" w:eastAsia="仿宋"/>
          <w:sz w:val="24"/>
          <w:szCs w:val="24"/>
          <w:highlight w:val="none"/>
        </w:rPr>
        <w:t>职权；</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w:t>
      </w:r>
      <w:r>
        <w:rPr>
          <w:rFonts w:ascii="仿宋" w:hAnsi="仿宋" w:eastAsia="仿宋"/>
          <w:sz w:val="24"/>
          <w:szCs w:val="24"/>
          <w:highlight w:val="none"/>
        </w:rPr>
        <w:t>监督基金管理人、基金托管人履行投资管理及托管义务的情况；</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w:t>
      </w:r>
      <w:r>
        <w:rPr>
          <w:rFonts w:ascii="仿宋" w:hAnsi="仿宋" w:eastAsia="仿宋"/>
          <w:sz w:val="24"/>
          <w:szCs w:val="24"/>
          <w:highlight w:val="none"/>
        </w:rPr>
        <w:t>按照基金合同约定的时间和方式获得基金信息披露资料；</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6</w:t>
      </w:r>
      <w:r>
        <w:rPr>
          <w:rFonts w:hint="eastAsia" w:ascii="仿宋" w:hAnsi="仿宋" w:eastAsia="仿宋"/>
          <w:sz w:val="24"/>
          <w:szCs w:val="24"/>
          <w:highlight w:val="none"/>
        </w:rPr>
        <w:t>.</w:t>
      </w:r>
      <w:r>
        <w:rPr>
          <w:rFonts w:ascii="仿宋" w:hAnsi="仿宋" w:eastAsia="仿宋"/>
          <w:sz w:val="24"/>
          <w:szCs w:val="24"/>
          <w:highlight w:val="none"/>
        </w:rPr>
        <w:t>因基金管理人、基金托管人违反法律法规或基金合同的约定导</w:t>
      </w:r>
      <w:r>
        <w:rPr>
          <w:rFonts w:hint="eastAsia" w:ascii="仿宋" w:hAnsi="仿宋" w:eastAsia="仿宋"/>
          <w:sz w:val="24"/>
          <w:szCs w:val="24"/>
          <w:highlight w:val="none"/>
        </w:rPr>
        <w:t>致合法权益受到损害的，有权得到赔偿。</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7</w:t>
      </w:r>
      <w:r>
        <w:rPr>
          <w:rFonts w:hint="eastAsia" w:ascii="仿宋" w:hAnsi="仿宋" w:eastAsia="仿宋"/>
          <w:sz w:val="24"/>
          <w:szCs w:val="24"/>
          <w:highlight w:val="none"/>
        </w:rPr>
        <w:t>.</w:t>
      </w:r>
      <w:r>
        <w:rPr>
          <w:rFonts w:ascii="仿宋" w:hAnsi="仿宋" w:eastAsia="仿宋"/>
          <w:sz w:val="24"/>
          <w:szCs w:val="24"/>
          <w:highlight w:val="none"/>
        </w:rPr>
        <w:t>投资者享有</w:t>
      </w:r>
      <w:r>
        <w:rPr>
          <w:rFonts w:hint="eastAsia" w:ascii="仿宋" w:hAnsi="仿宋" w:eastAsia="仿宋"/>
          <w:sz w:val="24"/>
          <w:szCs w:val="24"/>
          <w:highlight w:val="none"/>
        </w:rPr>
        <w:t>2</w:t>
      </w:r>
      <w:r>
        <w:rPr>
          <w:rFonts w:ascii="仿宋" w:hAnsi="仿宋" w:eastAsia="仿宋"/>
          <w:sz w:val="24"/>
          <w:szCs w:val="24"/>
          <w:highlight w:val="none"/>
        </w:rPr>
        <w:t>4小时的投资冷静期</w:t>
      </w:r>
      <w:r>
        <w:rPr>
          <w:rFonts w:hint="eastAsia" w:ascii="仿宋" w:hAnsi="仿宋" w:eastAsia="仿宋"/>
          <w:sz w:val="24"/>
          <w:szCs w:val="24"/>
          <w:highlight w:val="none"/>
        </w:rPr>
        <w:t>，投资者在募集机构回访确认成功前有权解除基金合同。出现前述情形时，募集机构应当按合同约定及时退还投资者的全部认购款项。</w:t>
      </w:r>
    </w:p>
    <w:p>
      <w:pPr>
        <w:spacing w:before="120" w:after="120" w:line="360" w:lineRule="auto"/>
        <w:jc w:val="left"/>
        <w:outlineLvl w:val="0"/>
        <w:rPr>
          <w:rFonts w:ascii="仿宋" w:hAnsi="仿宋" w:eastAsia="仿宋"/>
          <w:b/>
          <w:bCs/>
          <w:kern w:val="44"/>
          <w:sz w:val="24"/>
          <w:szCs w:val="44"/>
          <w:highlight w:val="none"/>
        </w:rPr>
      </w:pPr>
      <w:bookmarkStart w:id="25" w:name="_Toc16250024"/>
      <w:r>
        <w:rPr>
          <w:rFonts w:ascii="仿宋" w:hAnsi="仿宋" w:eastAsia="仿宋"/>
          <w:b/>
          <w:bCs/>
          <w:kern w:val="44"/>
          <w:sz w:val="24"/>
          <w:szCs w:val="44"/>
          <w:highlight w:val="none"/>
        </w:rPr>
        <w:t>十三</w:t>
      </w:r>
      <w:r>
        <w:rPr>
          <w:rFonts w:hint="eastAsia" w:ascii="仿宋" w:hAnsi="仿宋" w:eastAsia="仿宋"/>
          <w:b/>
          <w:bCs/>
          <w:kern w:val="44"/>
          <w:sz w:val="24"/>
          <w:szCs w:val="44"/>
          <w:highlight w:val="none"/>
        </w:rPr>
        <w:t>、</w:t>
      </w:r>
      <w:r>
        <w:rPr>
          <w:rFonts w:ascii="仿宋" w:hAnsi="仿宋" w:eastAsia="仿宋"/>
          <w:b/>
          <w:bCs/>
          <w:kern w:val="44"/>
          <w:sz w:val="24"/>
          <w:szCs w:val="44"/>
          <w:highlight w:val="none"/>
        </w:rPr>
        <w:t>基金的估值政策</w:t>
      </w:r>
      <w:bookmarkEnd w:id="25"/>
    </w:p>
    <w:p>
      <w:pPr>
        <w:spacing w:line="360" w:lineRule="auto"/>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[按照基金合同填写</w:t>
      </w:r>
      <w:r>
        <w:rPr>
          <w:rFonts w:ascii="仿宋" w:hAnsi="仿宋" w:eastAsia="仿宋"/>
          <w:sz w:val="24"/>
          <w:szCs w:val="24"/>
          <w:highlight w:val="none"/>
        </w:rPr>
        <w:t>]</w:t>
      </w:r>
    </w:p>
    <w:p>
      <w:pPr>
        <w:spacing w:before="120" w:after="120" w:line="360" w:lineRule="auto"/>
        <w:jc w:val="left"/>
        <w:outlineLvl w:val="0"/>
        <w:rPr>
          <w:rFonts w:ascii="仿宋" w:hAnsi="仿宋" w:eastAsia="仿宋"/>
          <w:b/>
          <w:bCs/>
          <w:kern w:val="44"/>
          <w:sz w:val="24"/>
          <w:szCs w:val="24"/>
          <w:highlight w:val="none"/>
        </w:rPr>
      </w:pPr>
      <w:bookmarkStart w:id="26" w:name="_Toc16250025"/>
      <w:r>
        <w:rPr>
          <w:rFonts w:ascii="仿宋" w:hAnsi="仿宋" w:eastAsia="仿宋"/>
          <w:b/>
          <w:bCs/>
          <w:kern w:val="44"/>
          <w:sz w:val="24"/>
          <w:szCs w:val="44"/>
          <w:highlight w:val="none"/>
        </w:rPr>
        <w:t>十四</w:t>
      </w:r>
      <w:r>
        <w:rPr>
          <w:rFonts w:hint="eastAsia" w:ascii="仿宋" w:hAnsi="仿宋" w:eastAsia="仿宋"/>
          <w:b/>
          <w:bCs/>
          <w:kern w:val="44"/>
          <w:sz w:val="24"/>
          <w:szCs w:val="24"/>
          <w:highlight w:val="none"/>
        </w:rPr>
        <w:t>、</w:t>
      </w:r>
      <w:r>
        <w:rPr>
          <w:rFonts w:ascii="仿宋" w:hAnsi="仿宋" w:eastAsia="仿宋"/>
          <w:b/>
          <w:bCs/>
          <w:kern w:val="44"/>
          <w:sz w:val="24"/>
          <w:szCs w:val="24"/>
          <w:highlight w:val="none"/>
        </w:rPr>
        <w:t>基金的收益分配和亏损分担方式</w:t>
      </w:r>
      <w:bookmarkEnd w:id="26"/>
    </w:p>
    <w:p>
      <w:pPr>
        <w:spacing w:line="360" w:lineRule="auto"/>
        <w:ind w:firstLine="480" w:firstLineChars="200"/>
        <w:jc w:val="left"/>
        <w:rPr>
          <w:rFonts w:ascii="仿宋" w:hAnsi="仿宋" w:eastAsia="仿宋"/>
          <w:sz w:val="24"/>
          <w:szCs w:val="24"/>
          <w:highlight w:val="none"/>
        </w:rPr>
      </w:pPr>
      <w:r>
        <w:rPr>
          <w:rFonts w:hint="eastAsia" w:ascii="仿宋" w:hAnsi="仿宋" w:eastAsia="仿宋"/>
          <w:sz w:val="24"/>
          <w:szCs w:val="24"/>
          <w:highlight w:val="none"/>
        </w:rPr>
        <w:t>[按照基金合同填写</w:t>
      </w:r>
      <w:r>
        <w:rPr>
          <w:rFonts w:ascii="仿宋" w:hAnsi="仿宋" w:eastAsia="仿宋"/>
          <w:sz w:val="24"/>
          <w:szCs w:val="24"/>
          <w:highlight w:val="none"/>
        </w:rPr>
        <w:t>]</w:t>
      </w:r>
    </w:p>
    <w:bookmarkEnd w:id="24"/>
    <w:p>
      <w:pPr>
        <w:spacing w:before="120" w:after="120" w:line="360" w:lineRule="auto"/>
        <w:jc w:val="left"/>
        <w:outlineLvl w:val="0"/>
        <w:rPr>
          <w:rFonts w:ascii="仿宋" w:hAnsi="仿宋" w:eastAsia="仿宋"/>
          <w:b/>
          <w:bCs/>
          <w:kern w:val="44"/>
          <w:sz w:val="24"/>
          <w:szCs w:val="44"/>
          <w:highlight w:val="none"/>
        </w:rPr>
      </w:pPr>
      <w:bookmarkStart w:id="27" w:name="_Toc487030487"/>
      <w:bookmarkStart w:id="28" w:name="_Toc16250026"/>
      <w:r>
        <w:rPr>
          <w:rFonts w:hint="eastAsia" w:ascii="仿宋" w:hAnsi="仿宋" w:eastAsia="仿宋"/>
          <w:b/>
          <w:bCs/>
          <w:kern w:val="44"/>
          <w:sz w:val="24"/>
          <w:szCs w:val="44"/>
          <w:highlight w:val="none"/>
        </w:rPr>
        <w:t>十五、基金信息披露的内容、方式及频率</w:t>
      </w:r>
      <w:bookmarkEnd w:id="27"/>
      <w:bookmarkEnd w:id="28"/>
    </w:p>
    <w:p>
      <w:pPr>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[以下是示例，按照基金合同中相应章节填写</w:t>
      </w:r>
      <w:r>
        <w:rPr>
          <w:rFonts w:ascii="仿宋" w:hAnsi="仿宋" w:eastAsia="仿宋"/>
          <w:b/>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.披露内容</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基金管理人应当向投资者披露以下信息：</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1)基金合同；</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(2)招募说明书等宣传推介文件；</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(3)基金销售协议中的主要权利义务条款(如有)；</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(4)基金的投资情况；</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(5)基金的资产负债情况；</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(6)基金的投资收益分配情况；</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(7)基金承担的费用和业绩报酬安排；</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(8)可能存在的利益冲突；</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(9)涉及私募基金管理业务、基金财产、基金托管业务的重大诉讼、仲裁；</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(10)中国证监会以及中国基金业协会规定的影响投资者合法权益的其他重大信息。</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.披露方式</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w:t>
      </w:r>
      <w:r>
        <w:rPr>
          <w:rFonts w:ascii="仿宋" w:hAnsi="仿宋" w:eastAsia="仿宋"/>
          <w:sz w:val="24"/>
          <w:szCs w:val="24"/>
          <w:highlight w:val="none"/>
        </w:rPr>
        <w:t>向投资者披露</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基金管理人应当向投资者披露信息。信息披露可以采取书面信件、传真、电子邮件、微信、管理人网站等方式进行。</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信息备份</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基金管理人应当按照规定通过中国基金业协会指定的私募基金信息披露备份平台报送信息。</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.披露频率</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1)□【适用于私募股权(含创业</w:t>
      </w:r>
      <w:r>
        <w:rPr>
          <w:rFonts w:ascii="仿宋" w:hAnsi="仿宋" w:eastAsia="仿宋"/>
          <w:sz w:val="24"/>
          <w:szCs w:val="24"/>
          <w:highlight w:val="none"/>
        </w:rPr>
        <w:t>)</w:t>
      </w:r>
      <w:r>
        <w:rPr>
          <w:rFonts w:hint="eastAsia" w:ascii="仿宋" w:hAnsi="仿宋" w:eastAsia="仿宋"/>
          <w:sz w:val="24"/>
          <w:szCs w:val="24"/>
          <w:highlight w:val="none"/>
        </w:rPr>
        <w:t>投资基金】管理人应当在每年</w:t>
      </w:r>
      <w:r>
        <w:rPr>
          <w:rFonts w:ascii="仿宋" w:hAnsi="仿宋" w:eastAsia="仿宋"/>
          <w:sz w:val="24"/>
          <w:szCs w:val="24"/>
          <w:highlight w:val="none"/>
        </w:rPr>
        <w:t>9月30日之前向全体</w:t>
      </w:r>
      <w:r>
        <w:rPr>
          <w:rFonts w:hint="eastAsia" w:ascii="仿宋" w:hAnsi="仿宋" w:eastAsia="仿宋"/>
          <w:sz w:val="24"/>
          <w:szCs w:val="24"/>
          <w:highlight w:val="none"/>
        </w:rPr>
        <w:t>投资者</w:t>
      </w:r>
      <w:r>
        <w:rPr>
          <w:rFonts w:ascii="仿宋" w:hAnsi="仿宋" w:eastAsia="仿宋"/>
          <w:sz w:val="24"/>
          <w:szCs w:val="24"/>
          <w:highlight w:val="none"/>
        </w:rPr>
        <w:t>提交半年度报告</w:t>
      </w:r>
      <w:r>
        <w:rPr>
          <w:rFonts w:hint="eastAsia" w:ascii="仿宋" w:hAnsi="仿宋" w:eastAsia="仿宋"/>
          <w:sz w:val="24"/>
          <w:szCs w:val="24"/>
          <w:highlight w:val="none"/>
        </w:rPr>
        <w:t>，</w:t>
      </w:r>
      <w:r>
        <w:rPr>
          <w:rFonts w:ascii="仿宋" w:hAnsi="仿宋" w:eastAsia="仿宋"/>
          <w:sz w:val="24"/>
          <w:szCs w:val="24"/>
          <w:highlight w:val="none"/>
        </w:rPr>
        <w:t>在每年6月30日之前向全体</w:t>
      </w:r>
      <w:r>
        <w:rPr>
          <w:rFonts w:hint="eastAsia" w:ascii="仿宋" w:hAnsi="仿宋" w:eastAsia="仿宋"/>
          <w:sz w:val="24"/>
          <w:szCs w:val="24"/>
          <w:highlight w:val="none"/>
        </w:rPr>
        <w:t>投资者</w:t>
      </w:r>
      <w:r>
        <w:rPr>
          <w:rFonts w:ascii="仿宋" w:hAnsi="仿宋" w:eastAsia="仿宋"/>
          <w:sz w:val="24"/>
          <w:szCs w:val="24"/>
          <w:highlight w:val="none"/>
        </w:rPr>
        <w:t>提交上一年度的年度报告。</w:t>
      </w:r>
    </w:p>
    <w:p>
      <w:pPr>
        <w:spacing w:line="360" w:lineRule="auto"/>
        <w:ind w:firstLine="720" w:firstLineChars="300"/>
        <w:rPr>
          <w:rFonts w:ascii="仿宋" w:hAnsi="仿宋" w:eastAsia="仿宋"/>
          <w:sz w:val="24"/>
          <w:szCs w:val="24"/>
          <w:highlight w:val="none"/>
        </w:rPr>
      </w:pPr>
      <w:r>
        <w:rPr>
          <w:rFonts w:hint="eastAsia" w:ascii="仿宋" w:hAnsi="仿宋" w:eastAsia="仿宋"/>
          <w:sz w:val="24"/>
          <w:szCs w:val="24"/>
          <w:highlight w:val="none"/>
        </w:rPr>
        <w:t>□【适用于私募证券投资基金】管理人应当在每月结束之日起5个工作日内向全体投资者提交月度报告，在每季度结束之日1</w:t>
      </w:r>
      <w:r>
        <w:rPr>
          <w:rFonts w:ascii="仿宋" w:hAnsi="仿宋" w:eastAsia="仿宋"/>
          <w:sz w:val="24"/>
          <w:szCs w:val="24"/>
          <w:highlight w:val="none"/>
        </w:rPr>
        <w:t>0</w:t>
      </w:r>
      <w:r>
        <w:rPr>
          <w:rFonts w:hint="eastAsia" w:ascii="仿宋" w:hAnsi="仿宋" w:eastAsia="仿宋"/>
          <w:sz w:val="24"/>
          <w:szCs w:val="24"/>
          <w:highlight w:val="none"/>
        </w:rPr>
        <w:t>个工作日内</w:t>
      </w:r>
      <w:r>
        <w:rPr>
          <w:rFonts w:ascii="仿宋" w:hAnsi="仿宋" w:eastAsia="仿宋"/>
          <w:sz w:val="24"/>
          <w:szCs w:val="24"/>
          <w:highlight w:val="none"/>
        </w:rPr>
        <w:t>向全体</w:t>
      </w:r>
      <w:r>
        <w:rPr>
          <w:rFonts w:hint="eastAsia" w:ascii="仿宋" w:hAnsi="仿宋" w:eastAsia="仿宋"/>
          <w:sz w:val="24"/>
          <w:szCs w:val="24"/>
          <w:highlight w:val="none"/>
        </w:rPr>
        <w:t>投资者</w:t>
      </w:r>
      <w:r>
        <w:rPr>
          <w:rFonts w:ascii="仿宋" w:hAnsi="仿宋" w:eastAsia="仿宋"/>
          <w:sz w:val="24"/>
          <w:szCs w:val="24"/>
          <w:highlight w:val="none"/>
        </w:rPr>
        <w:t>提交</w:t>
      </w:r>
      <w:r>
        <w:rPr>
          <w:rFonts w:hint="eastAsia" w:ascii="仿宋" w:hAnsi="仿宋" w:eastAsia="仿宋"/>
          <w:sz w:val="24"/>
          <w:szCs w:val="24"/>
          <w:highlight w:val="none"/>
        </w:rPr>
        <w:t>季</w:t>
      </w:r>
      <w:r>
        <w:rPr>
          <w:rFonts w:ascii="仿宋" w:hAnsi="仿宋" w:eastAsia="仿宋"/>
          <w:sz w:val="24"/>
          <w:szCs w:val="24"/>
          <w:highlight w:val="none"/>
        </w:rPr>
        <w:t>度报告</w:t>
      </w:r>
      <w:r>
        <w:rPr>
          <w:rFonts w:hint="eastAsia" w:ascii="仿宋" w:hAnsi="仿宋" w:eastAsia="仿宋"/>
          <w:sz w:val="24"/>
          <w:szCs w:val="24"/>
          <w:highlight w:val="none"/>
        </w:rPr>
        <w:t>，</w:t>
      </w:r>
      <w:r>
        <w:rPr>
          <w:rFonts w:ascii="仿宋" w:hAnsi="仿宋" w:eastAsia="仿宋"/>
          <w:sz w:val="24"/>
          <w:szCs w:val="24"/>
          <w:highlight w:val="none"/>
        </w:rPr>
        <w:t>在每年4月30日之前向全体</w:t>
      </w:r>
      <w:r>
        <w:rPr>
          <w:rFonts w:hint="eastAsia" w:ascii="仿宋" w:hAnsi="仿宋" w:eastAsia="仿宋"/>
          <w:sz w:val="24"/>
          <w:szCs w:val="24"/>
          <w:highlight w:val="none"/>
        </w:rPr>
        <w:t>投资者</w:t>
      </w:r>
      <w:r>
        <w:rPr>
          <w:rFonts w:ascii="仿宋" w:hAnsi="仿宋" w:eastAsia="仿宋"/>
          <w:sz w:val="24"/>
          <w:szCs w:val="24"/>
          <w:highlight w:val="none"/>
        </w:rPr>
        <w:t>提交上一年度的年度报告。</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发生以下重大事项的，基金管理人应当及时向投资者披露：</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(1)基金名称、注册地址、组织形式发生变更的；</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(2)投资范围和投资策略发生重大变化的；</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(3)变更基金管理人或托管人的；</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(4)基金管理人的法定代表人、执行事务合伙人(委派代表)、实际控制人发生变更的；</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(5)触及基金止损线或预警线的；</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(6)管理费率、托管费率发生变化的；</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(7)基金收益分配事项发生变更的；</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(8)基金触发巨额赎回的；</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(9)基金存续期变更或展期的；</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0</w:t>
      </w:r>
      <w:r>
        <w:rPr>
          <w:rFonts w:hint="eastAsia" w:ascii="仿宋" w:hAnsi="仿宋" w:eastAsia="仿宋"/>
          <w:sz w:val="24"/>
          <w:szCs w:val="24"/>
          <w:highlight w:val="none"/>
        </w:rPr>
        <w:t>)基金发生清盘或清算的；</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1</w:t>
      </w:r>
      <w:r>
        <w:rPr>
          <w:rFonts w:hint="eastAsia" w:ascii="仿宋" w:hAnsi="仿宋" w:eastAsia="仿宋"/>
          <w:sz w:val="24"/>
          <w:szCs w:val="24"/>
          <w:highlight w:val="none"/>
        </w:rPr>
        <w:t>)发生重大关联交易事项的；</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2</w:t>
      </w:r>
      <w:r>
        <w:rPr>
          <w:rFonts w:hint="eastAsia" w:ascii="仿宋" w:hAnsi="仿宋" w:eastAsia="仿宋"/>
          <w:sz w:val="24"/>
          <w:szCs w:val="24"/>
          <w:highlight w:val="none"/>
        </w:rPr>
        <w:t>)基金管理人、实际控制人、高管人员涉嫌重大违法违规行为或正在接受监管部门或自律管理部门调查的；</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13</w:t>
      </w:r>
      <w:r>
        <w:rPr>
          <w:rFonts w:hint="eastAsia" w:ascii="仿宋" w:hAnsi="仿宋" w:eastAsia="仿宋"/>
          <w:sz w:val="24"/>
          <w:szCs w:val="24"/>
          <w:highlight w:val="none"/>
        </w:rPr>
        <w:t>)涉及私募基金管理业务、基金财产、基金托管业务的重大诉讼、仲裁；</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(1</w:t>
      </w:r>
      <w:r>
        <w:rPr>
          <w:rFonts w:ascii="仿宋" w:hAnsi="仿宋" w:eastAsia="仿宋"/>
          <w:sz w:val="24"/>
          <w:szCs w:val="24"/>
          <w:highlight w:val="none"/>
        </w:rPr>
        <w:t>4</w:t>
      </w:r>
      <w:r>
        <w:rPr>
          <w:rFonts w:hint="eastAsia" w:ascii="仿宋" w:hAnsi="仿宋" w:eastAsia="仿宋"/>
          <w:sz w:val="24"/>
          <w:szCs w:val="24"/>
          <w:highlight w:val="none"/>
        </w:rPr>
        <w:t>)基金合同约定的影响投资者利益的其他重大事项。</w:t>
      </w:r>
    </w:p>
    <w:p>
      <w:pPr>
        <w:spacing w:before="120" w:after="120" w:line="360" w:lineRule="auto"/>
        <w:jc w:val="left"/>
        <w:outlineLvl w:val="0"/>
        <w:rPr>
          <w:rFonts w:ascii="仿宋" w:hAnsi="仿宋" w:eastAsia="仿宋"/>
          <w:b/>
          <w:bCs/>
          <w:kern w:val="44"/>
          <w:sz w:val="24"/>
          <w:szCs w:val="44"/>
          <w:highlight w:val="none"/>
        </w:rPr>
      </w:pPr>
      <w:bookmarkStart w:id="29" w:name="_Toc16250027"/>
      <w:bookmarkStart w:id="30" w:name="_Toc487030488"/>
      <w:r>
        <w:rPr>
          <w:rFonts w:hint="eastAsia" w:ascii="仿宋" w:hAnsi="仿宋" w:eastAsia="仿宋"/>
          <w:b/>
          <w:bCs/>
          <w:kern w:val="44"/>
          <w:sz w:val="24"/>
          <w:szCs w:val="44"/>
          <w:highlight w:val="none"/>
        </w:rPr>
        <w:t>十六、基金招募说明书不得转载或传阅</w:t>
      </w:r>
      <w:bookmarkEnd w:id="29"/>
      <w:bookmarkEnd w:id="30"/>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本招募说明书及相关推介材料由本基金管理人制作并使用。本基金管理人对私募基金推介材料内容的真实性、完整性、准确性负责。</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除本基金管理人委托募集的基金销售机构可以使用本招募说明书及相关推介材料向特定对象宣传推介外，其他任何机构或个人不得使用、更改、变相使用本招募说明书及相关推介材料。</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本招募说明书及相关推介材料不得转载或给第三方传阅。</w:t>
      </w:r>
    </w:p>
    <w:p>
      <w:pPr>
        <w:spacing w:before="120" w:after="120" w:line="360" w:lineRule="auto"/>
        <w:jc w:val="left"/>
        <w:outlineLvl w:val="0"/>
        <w:rPr>
          <w:rFonts w:ascii="仿宋" w:hAnsi="仿宋" w:eastAsia="仿宋"/>
          <w:b/>
          <w:bCs/>
          <w:kern w:val="44"/>
          <w:sz w:val="24"/>
          <w:szCs w:val="44"/>
          <w:highlight w:val="none"/>
        </w:rPr>
      </w:pPr>
      <w:bookmarkStart w:id="31" w:name="_Toc487030489"/>
      <w:bookmarkStart w:id="32" w:name="_Toc16250028"/>
      <w:r>
        <w:rPr>
          <w:rFonts w:hint="eastAsia" w:ascii="仿宋" w:hAnsi="仿宋" w:eastAsia="仿宋"/>
          <w:b/>
          <w:bCs/>
          <w:kern w:val="44"/>
          <w:sz w:val="24"/>
          <w:szCs w:val="44"/>
          <w:highlight w:val="none"/>
        </w:rPr>
        <w:t>十七、入伙(股)协议不能替代合伙协议或公司章程(公司型、合伙型基金适用)</w:t>
      </w:r>
      <w:bookmarkEnd w:id="31"/>
      <w:bookmarkEnd w:id="32"/>
    </w:p>
    <w:p>
      <w:pPr>
        <w:spacing w:line="360" w:lineRule="auto"/>
        <w:ind w:firstLine="480" w:firstLineChars="200"/>
        <w:rPr>
          <w:rFonts w:ascii="仿宋" w:hAnsi="仿宋" w:eastAsia="仿宋"/>
          <w:i/>
          <w:sz w:val="24"/>
          <w:szCs w:val="24"/>
          <w:highlight w:val="none"/>
        </w:rPr>
      </w:pPr>
      <w:r>
        <w:rPr>
          <w:rFonts w:hint="eastAsia" w:ascii="仿宋" w:hAnsi="仿宋" w:eastAsia="仿宋"/>
          <w:i/>
          <w:sz w:val="24"/>
          <w:szCs w:val="24"/>
          <w:highlight w:val="none"/>
        </w:rPr>
        <w:t>本基金入伙(股)协议不能替代合伙协议(或公司章程)。</w:t>
      </w:r>
    </w:p>
    <w:p>
      <w:pPr>
        <w:spacing w:line="360" w:lineRule="auto"/>
        <w:ind w:firstLine="480" w:firstLineChars="200"/>
        <w:rPr>
          <w:rFonts w:ascii="仿宋" w:hAnsi="仿宋" w:eastAsia="仿宋"/>
          <w:i/>
          <w:sz w:val="24"/>
          <w:szCs w:val="24"/>
          <w:highlight w:val="none"/>
        </w:rPr>
      </w:pPr>
      <w:r>
        <w:rPr>
          <w:rFonts w:hint="eastAsia" w:ascii="仿宋" w:hAnsi="仿宋" w:eastAsia="仿宋"/>
          <w:i/>
          <w:sz w:val="24"/>
          <w:szCs w:val="24"/>
          <w:highlight w:val="none"/>
        </w:rPr>
        <w:t>根据《合伙企业法》(或《公司法》)，本基金合伙协议(或公司章程)依法应当由全体合伙人(股东)协商同意，以书面形式订立。申请设立合伙企业(公司)或变更合伙人(股东)的，应当向企业登记机关履行申请设立及变更登记手续。</w:t>
      </w:r>
    </w:p>
    <w:p>
      <w:pPr>
        <w:spacing w:before="120" w:after="120" w:line="360" w:lineRule="auto"/>
        <w:jc w:val="left"/>
        <w:outlineLvl w:val="0"/>
        <w:rPr>
          <w:rFonts w:ascii="仿宋" w:hAnsi="仿宋" w:eastAsia="仿宋"/>
          <w:b/>
          <w:bCs/>
          <w:kern w:val="44"/>
          <w:sz w:val="24"/>
          <w:szCs w:val="44"/>
          <w:highlight w:val="none"/>
        </w:rPr>
      </w:pPr>
      <w:bookmarkStart w:id="33" w:name="_Toc16250029"/>
      <w:bookmarkStart w:id="34" w:name="_Toc487030490"/>
      <w:r>
        <w:rPr>
          <w:rFonts w:hint="eastAsia" w:ascii="仿宋" w:hAnsi="仿宋" w:eastAsia="仿宋"/>
          <w:b/>
          <w:bCs/>
          <w:kern w:val="44"/>
          <w:sz w:val="24"/>
          <w:szCs w:val="44"/>
          <w:highlight w:val="none"/>
        </w:rPr>
        <w:t>十八、普通投资者购买R</w:t>
      </w:r>
      <w:r>
        <w:rPr>
          <w:rFonts w:ascii="仿宋" w:hAnsi="仿宋" w:eastAsia="仿宋"/>
          <w:b/>
          <w:bCs/>
          <w:kern w:val="44"/>
          <w:sz w:val="24"/>
          <w:szCs w:val="44"/>
          <w:highlight w:val="none"/>
        </w:rPr>
        <w:t>5</w:t>
      </w:r>
      <w:r>
        <w:rPr>
          <w:rFonts w:hint="eastAsia" w:ascii="仿宋" w:hAnsi="仿宋" w:eastAsia="仿宋"/>
          <w:b/>
          <w:bCs/>
          <w:kern w:val="44"/>
          <w:sz w:val="24"/>
          <w:szCs w:val="44"/>
          <w:highlight w:val="none"/>
        </w:rPr>
        <w:t>高风险等级基金的特别提示</w:t>
      </w:r>
      <w:bookmarkEnd w:id="33"/>
      <w:bookmarkEnd w:id="34"/>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.您/贵机构拟投资的私募基金产品属于R</w:t>
      </w:r>
      <w:r>
        <w:rPr>
          <w:rFonts w:ascii="仿宋" w:hAnsi="仿宋" w:eastAsia="仿宋"/>
          <w:sz w:val="24"/>
          <w:szCs w:val="24"/>
          <w:highlight w:val="none"/>
        </w:rPr>
        <w:t>5</w:t>
      </w:r>
      <w:r>
        <w:rPr>
          <w:rFonts w:hint="eastAsia" w:ascii="仿宋" w:hAnsi="仿宋" w:eastAsia="仿宋"/>
          <w:sz w:val="24"/>
          <w:szCs w:val="24"/>
          <w:highlight w:val="none"/>
        </w:rPr>
        <w:t>高风险等级的产品，</w:t>
      </w:r>
      <w:r>
        <w:rPr>
          <w:rFonts w:ascii="仿宋" w:hAnsi="仿宋" w:eastAsia="仿宋"/>
          <w:sz w:val="24"/>
          <w:szCs w:val="24"/>
          <w:highlight w:val="none"/>
        </w:rPr>
        <w:t>该风险等级</w:t>
      </w:r>
      <w:r>
        <w:rPr>
          <w:rFonts w:hint="eastAsia" w:ascii="仿宋" w:hAnsi="仿宋" w:eastAsia="仿宋"/>
          <w:sz w:val="24"/>
          <w:szCs w:val="24"/>
          <w:highlight w:val="none"/>
        </w:rPr>
        <w:t>的产品存在本金损失可能、波动性较大、流动性变现能力差、结构复杂、不易估值等可能构成投资风险的因素。因此，请您</w:t>
      </w:r>
      <w:r>
        <w:rPr>
          <w:rFonts w:ascii="仿宋" w:hAnsi="仿宋" w:eastAsia="仿宋"/>
          <w:sz w:val="24"/>
          <w:szCs w:val="24"/>
          <w:highlight w:val="none"/>
        </w:rPr>
        <w:t>/贵机构</w:t>
      </w:r>
      <w:r>
        <w:rPr>
          <w:rFonts w:hint="eastAsia" w:ascii="仿宋" w:hAnsi="仿宋" w:eastAsia="仿宋"/>
          <w:sz w:val="24"/>
          <w:szCs w:val="24"/>
          <w:highlight w:val="none"/>
        </w:rPr>
        <w:t>认真阅读本招募说明书及风险揭示书，仔细了解该等产品详细信息、重点特性和风险。</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2.请您</w:t>
      </w:r>
      <w:r>
        <w:rPr>
          <w:rFonts w:ascii="仿宋" w:hAnsi="仿宋" w:eastAsia="仿宋"/>
          <w:sz w:val="24"/>
          <w:szCs w:val="24"/>
          <w:highlight w:val="none"/>
        </w:rPr>
        <w:t>/贵机构</w:t>
      </w:r>
      <w:r>
        <w:rPr>
          <w:rFonts w:hint="eastAsia" w:ascii="仿宋" w:hAnsi="仿宋" w:eastAsia="仿宋"/>
          <w:sz w:val="24"/>
          <w:szCs w:val="24"/>
          <w:highlight w:val="none"/>
        </w:rPr>
        <w:t>仔细阅读本招募说明书和基金合同关于“私募基金的主要费用、费率及重要权利、信息披露内容、方式及频率”的规定。</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.投诉方式</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)公司投诉电话：</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)基金业协会投诉：</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)电子邮箱：</w:t>
      </w:r>
      <w:r>
        <w:rPr>
          <w:rFonts w:ascii="仿宋" w:hAnsi="仿宋" w:eastAsia="仿宋"/>
          <w:sz w:val="24"/>
          <w:szCs w:val="24"/>
          <w:highlight w:val="none"/>
        </w:rPr>
        <w:t>tousu@amac.org.cn(邮件以“投诉人姓名_联系方式_投诉对象_投诉事由”命名)；</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)邮寄地址：北京市西城区金融大街</w:t>
      </w:r>
      <w:r>
        <w:rPr>
          <w:rFonts w:ascii="仿宋" w:hAnsi="仿宋" w:eastAsia="仿宋"/>
          <w:sz w:val="24"/>
          <w:szCs w:val="24"/>
          <w:highlight w:val="none"/>
        </w:rPr>
        <w:t>20号交通银行大厦B座9层，邮编100033(请标明“法律部收”)；</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在线投诉：对于投诉私募基金管理人的，还可直接点击其公示信息中的“投诉”按钮，按照要求在线填写并提交投诉信息;</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微信投诉：微信公众号(</w:t>
      </w:r>
      <w:r>
        <w:rPr>
          <w:rFonts w:ascii="仿宋" w:hAnsi="仿宋" w:eastAsia="仿宋"/>
          <w:sz w:val="24"/>
          <w:szCs w:val="24"/>
          <w:highlight w:val="none"/>
        </w:rPr>
        <w:t>CHINAAMAC</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(5)</w:t>
      </w:r>
      <w:r>
        <w:rPr>
          <w:rFonts w:hint="eastAsia" w:ascii="仿宋" w:hAnsi="仿宋" w:eastAsia="仿宋"/>
          <w:sz w:val="24"/>
          <w:szCs w:val="24"/>
          <w:highlight w:val="none"/>
        </w:rPr>
        <w:t>拨打私募基金全国统一咨询热线电话</w:t>
      </w:r>
      <w:r>
        <w:rPr>
          <w:rFonts w:ascii="仿宋" w:hAnsi="仿宋" w:eastAsia="仿宋"/>
          <w:sz w:val="24"/>
          <w:szCs w:val="24"/>
          <w:highlight w:val="none"/>
        </w:rPr>
        <w:t>400-017-8200</w:t>
      </w:r>
      <w:r>
        <w:rPr>
          <w:rFonts w:hint="eastAsia" w:ascii="仿宋" w:hAnsi="仿宋" w:eastAsia="仿宋"/>
          <w:sz w:val="24"/>
          <w:szCs w:val="24"/>
          <w:highlight w:val="none"/>
        </w:rPr>
        <w:t>。</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.纠纷解决安排</w:t>
      </w:r>
    </w:p>
    <w:p>
      <w:pPr>
        <w:spacing w:line="360" w:lineRule="auto"/>
        <w:ind w:firstLine="480" w:firstLineChars="200"/>
        <w:rPr>
          <w:rFonts w:ascii="仿宋" w:hAnsi="仿宋" w:eastAsia="仿宋"/>
          <w:sz w:val="24"/>
          <w:szCs w:val="24"/>
          <w:highlight w:val="none"/>
        </w:rPr>
      </w:pPr>
      <w:r>
        <w:rPr>
          <w:rFonts w:ascii="仿宋" w:hAnsi="仿宋" w:eastAsia="仿宋"/>
          <w:sz w:val="24"/>
          <w:szCs w:val="24"/>
          <w:highlight w:val="none"/>
        </w:rPr>
        <w:t>[按照基金合同填写]</w:t>
      </w:r>
    </w:p>
    <w:p>
      <w:pPr>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 xml:space="preserve"> (全文结束</w:t>
      </w:r>
      <w:r>
        <w:rPr>
          <w:rFonts w:ascii="仿宋" w:hAnsi="仿宋" w:eastAsia="仿宋"/>
          <w:sz w:val="24"/>
          <w:szCs w:val="24"/>
          <w:highlight w:val="none"/>
        </w:rPr>
        <w:t>)</w:t>
      </w: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ascii="Times New Roman" w:hAnsi="Times New Roman" w:cs="Times New Roman"/>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rPr>
        <w:rFonts w:ascii="仿宋" w:hAnsi="仿宋" w:eastAsia="仿宋"/>
        <w:sz w:val="21"/>
        <w:szCs w:val="21"/>
      </w:rPr>
    </w:pPr>
    <w:bookmarkStart w:id="35" w:name="_Hlk487104667"/>
    <w:r>
      <w:rPr>
        <w:rFonts w:hint="eastAsia" w:ascii="仿宋" w:hAnsi="仿宋" w:eastAsia="仿宋"/>
        <w:sz w:val="21"/>
        <w:szCs w:val="21"/>
      </w:rPr>
      <w:t>私募基金招募说明书</w:t>
    </w:r>
    <w:bookmarkEnd w:id="3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E1886"/>
    <w:rsid w:val="009E1886"/>
    <w:rsid w:val="00EB0277"/>
    <w:rsid w:val="300309F5"/>
    <w:rsid w:val="57430890"/>
    <w:rsid w:val="71F86E7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7"/>
    <w:qFormat/>
    <w:uiPriority w:val="9"/>
    <w:pPr>
      <w:spacing w:before="120" w:after="120" w:line="360" w:lineRule="auto"/>
      <w:jc w:val="center"/>
      <w:outlineLvl w:val="0"/>
    </w:pPr>
    <w:rPr>
      <w:rFonts w:eastAsia="仿宋"/>
      <w:b/>
      <w:bCs/>
      <w:kern w:val="44"/>
      <w:sz w:val="28"/>
      <w:szCs w:val="44"/>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5"/>
    <w:link w:val="2"/>
    <w:qFormat/>
    <w:uiPriority w:val="9"/>
    <w:rPr>
      <w:rFonts w:eastAsia="仿宋"/>
      <w:b/>
      <w:bCs/>
      <w:kern w:val="44"/>
      <w:sz w:val="28"/>
      <w:szCs w:val="44"/>
    </w:rPr>
  </w:style>
  <w:style w:type="character" w:customStyle="1" w:styleId="8">
    <w:name w:val="页脚 字符"/>
    <w:basedOn w:val="5"/>
    <w:link w:val="3"/>
    <w:qFormat/>
    <w:uiPriority w:val="99"/>
    <w:rPr>
      <w:sz w:val="18"/>
      <w:szCs w:val="18"/>
    </w:rPr>
  </w:style>
  <w:style w:type="character" w:customStyle="1" w:styleId="9">
    <w:name w:val="页眉 字符"/>
    <w:basedOn w:val="5"/>
    <w:link w:val="4"/>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802</Words>
  <Characters>4578</Characters>
  <Lines>38</Lines>
  <Paragraphs>10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2021-06-12T03:06:00Z</dcterms:created>
  <dc:creator>吴 颖</dc:creator>
  <cp:lastModifiedBy>kch</cp:lastModifiedBy>
  <dcterms:modified xsi:type="dcterms:W3CDTF">2021-08-16T07:35:09Z</dcterms:modified>
  <dc:title>附件9</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