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 w:line="360" w:lineRule="auto"/>
        <w:jc w:val="center"/>
        <w:outlineLvl w:val="0"/>
        <w:rPr>
          <w:rFonts w:ascii="仿宋" w:hAnsi="仿宋" w:eastAsia="仿宋"/>
          <w:b/>
          <w:bCs/>
          <w:kern w:val="44"/>
          <w:sz w:val="32"/>
          <w:szCs w:val="44"/>
        </w:rPr>
      </w:pPr>
      <w:bookmarkStart w:id="0" w:name="_GoBack"/>
      <w:bookmarkEnd w:id="0"/>
      <w:r>
        <w:rPr>
          <w:rFonts w:ascii="仿宋" w:hAnsi="仿宋" w:eastAsia="仿宋"/>
          <w:b/>
          <w:bCs/>
          <w:kern w:val="44"/>
          <w:sz w:val="32"/>
          <w:szCs w:val="44"/>
        </w:rPr>
        <w:t>投资者基本信息表 (自然人)</w:t>
      </w:r>
    </w:p>
    <w:tbl>
      <w:tblPr>
        <w:tblStyle w:val="7"/>
        <w:tblW w:w="90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1" w:type="dxa"/>
          <w:left w:w="38" w:type="dxa"/>
          <w:bottom w:w="0" w:type="dxa"/>
          <w:right w:w="46" w:type="dxa"/>
        </w:tblCellMar>
      </w:tblPr>
      <w:tblGrid>
        <w:gridCol w:w="1121"/>
        <w:gridCol w:w="1418"/>
        <w:gridCol w:w="425"/>
        <w:gridCol w:w="1134"/>
        <w:gridCol w:w="1864"/>
        <w:gridCol w:w="994"/>
        <w:gridCol w:w="969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2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4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职业</w:t>
            </w:r>
          </w:p>
        </w:tc>
        <w:tc>
          <w:tcPr>
            <w:tcW w:w="4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座机</w:t>
            </w:r>
          </w:p>
        </w:tc>
        <w:tc>
          <w:tcPr>
            <w:tcW w:w="30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793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814" w:hRule="atLeast"/>
          <w:jc w:val="center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资产规模</w:t>
            </w:r>
          </w:p>
        </w:tc>
        <w:tc>
          <w:tcPr>
            <w:tcW w:w="5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金融资产不低于500万元人民币，或者最近3年个人年均收入不低于50万元人民币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814" w:hRule="atLeast"/>
          <w:jc w:val="center"/>
        </w:trPr>
        <w:tc>
          <w:tcPr>
            <w:tcW w:w="11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</w:t>
            </w:r>
            <w:r>
              <w:rPr>
                <w:rFonts w:ascii="仿宋" w:hAnsi="仿宋" w:eastAsia="仿宋"/>
                <w:sz w:val="24"/>
                <w:szCs w:val="24"/>
              </w:rPr>
              <w:t>20个交易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日金融资产均不得低于人民币</w:t>
            </w:r>
            <w:r>
              <w:rPr>
                <w:rFonts w:ascii="仿宋" w:hAnsi="仿宋" w:eastAsia="仿宋"/>
                <w:sz w:val="24"/>
                <w:szCs w:val="24"/>
              </w:rPr>
              <w:t>300万元，或者最近三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年个人年均收入不低于人民币</w:t>
            </w:r>
            <w:r>
              <w:rPr>
                <w:rFonts w:ascii="仿宋" w:hAnsi="仿宋" w:eastAsia="仿宋"/>
                <w:sz w:val="24"/>
                <w:szCs w:val="24"/>
              </w:rPr>
              <w:t>50万元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1060" w:hRule="atLeast"/>
          <w:jc w:val="center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投资经历</w:t>
            </w:r>
          </w:p>
        </w:tc>
        <w:tc>
          <w:tcPr>
            <w:tcW w:w="58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具有2年以上证券、基金、期货、黄金、外汇等投资经历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955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5" w:type="dxa"/>
            <w:gridSpan w:val="5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</w:t>
            </w:r>
            <w:r>
              <w:rPr>
                <w:rFonts w:ascii="仿宋" w:hAnsi="仿宋" w:eastAsia="仿宋"/>
                <w:sz w:val="24"/>
                <w:szCs w:val="24"/>
              </w:rPr>
              <w:t>2年以上金融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产品设计、投资、风险管理及相关工作经历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920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835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属于《证券期货投资者适当性管理办法》第八条第</w:t>
            </w:r>
            <w:r>
              <w:rPr>
                <w:rFonts w:ascii="仿宋" w:hAnsi="仿宋" w:eastAsia="仿宋"/>
                <w:sz w:val="24"/>
                <w:szCs w:val="24"/>
              </w:rPr>
              <w:t>(一)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footnoteReference w:id="0"/>
            </w:r>
            <w:r>
              <w:rPr>
                <w:rFonts w:hint="eastAsia" w:ascii="仿宋" w:hAnsi="仿宋" w:eastAsia="仿宋"/>
                <w:sz w:val="24"/>
                <w:szCs w:val="24"/>
              </w:rPr>
              <w:t>规定的专业投资者的高级管理人员、获得职业资格认证的从事金融相关业务的注册会计师和律师</w:t>
            </w:r>
          </w:p>
        </w:tc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721" w:hRule="atLeast"/>
          <w:jc w:val="center"/>
        </w:trPr>
        <w:tc>
          <w:tcPr>
            <w:tcW w:w="25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是否存在实际控制关系</w:t>
            </w:r>
          </w:p>
        </w:tc>
        <w:tc>
          <w:tcPr>
            <w:tcW w:w="6520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否( ), 是(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3" w:hRule="atLeast"/>
          <w:jc w:val="center"/>
        </w:trPr>
        <w:tc>
          <w:tcPr>
            <w:tcW w:w="25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交易的实际受益人</w:t>
            </w:r>
          </w:p>
        </w:tc>
        <w:tc>
          <w:tcPr>
            <w:tcW w:w="6520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本人( )，他人(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542" w:hRule="atLeast"/>
          <w:jc w:val="center"/>
        </w:trPr>
        <w:tc>
          <w:tcPr>
            <w:tcW w:w="25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是否有不良诚信记录</w:t>
            </w:r>
          </w:p>
        </w:tc>
        <w:tc>
          <w:tcPr>
            <w:tcW w:w="6520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否( ), 是(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2170" w:hRule="atLeast"/>
          <w:jc w:val="center"/>
        </w:trPr>
        <w:tc>
          <w:tcPr>
            <w:tcW w:w="905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本人保证资金来源的合法性和所提供资料的真实性、有效性、准确性、完整性，并对其承担责任。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投资者签字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经办人签章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募集机构盖章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复核人签章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0" w:type="dxa"/>
            <w:right w:w="46" w:type="dxa"/>
          </w:tblCellMar>
        </w:tblPrEx>
        <w:trPr>
          <w:trHeight w:val="370" w:hRule="atLeast"/>
          <w:jc w:val="center"/>
        </w:trPr>
        <w:tc>
          <w:tcPr>
            <w:tcW w:w="905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i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sz w:val="24"/>
                <w:szCs w:val="24"/>
              </w:rPr>
              <w:t>注：投资者应当对所填资料的真实性、有效性、完整性负责。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4"/>
        <w:rPr>
          <w:rFonts w:ascii="仿宋" w:hAnsi="仿宋" w:eastAsia="仿宋"/>
        </w:rPr>
      </w:pPr>
      <w:r>
        <w:rPr>
          <w:rStyle w:val="6"/>
          <w:rFonts w:ascii="仿宋" w:hAnsi="仿宋" w:eastAsia="仿宋"/>
        </w:rPr>
        <w:footnoteRef/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kern w:val="0"/>
        </w:rPr>
        <w:t>《证券期货投资者适当性管理办法》第八条第(一)项“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。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10E8"/>
    <w:rsid w:val="0005142F"/>
    <w:rsid w:val="00C510E8"/>
    <w:rsid w:val="425905C2"/>
    <w:rsid w:val="43A60FDD"/>
    <w:rsid w:val="449666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unhideWhenUsed/>
    <w:qFormat/>
    <w:uiPriority w:val="99"/>
    <w:rPr>
      <w:vertAlign w:val="superscript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脚注文本 字符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570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2021-06-12T02:55:00Z</dcterms:created>
  <dc:creator>吴 颖</dc:creator>
  <cp:lastModifiedBy>kch</cp:lastModifiedBy>
  <cp:lastPrinted>2021-08-16T07:31:56Z</cp:lastPrinted>
  <dcterms:modified xsi:type="dcterms:W3CDTF">2021-08-16T07:31:59Z</dcterms:modified>
  <dc:title>附件1-1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